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FC680">
      <w:pPr>
        <w:pStyle w:val="12"/>
        <w:spacing w:line="360" w:lineRule="auto"/>
        <w:ind w:left="153" w:right="103"/>
        <w:rPr>
          <w:rFonts w:hint="eastAsia" w:cs="仿宋"/>
          <w:sz w:val="24"/>
          <w:szCs w:val="24"/>
          <w:lang w:eastAsia="zh-CN"/>
        </w:rPr>
      </w:pPr>
      <w:bookmarkStart w:id="0" w:name="附件_1-2："/>
      <w:bookmarkEnd w:id="0"/>
      <w:bookmarkStart w:id="1" w:name="_bookmark13"/>
      <w:bookmarkEnd w:id="1"/>
      <w:r>
        <w:rPr>
          <w:rFonts w:hint="eastAsia" w:cs="仿宋"/>
          <w:spacing w:val="-3"/>
          <w:sz w:val="24"/>
          <w:szCs w:val="24"/>
          <w:lang w:eastAsia="zh-CN"/>
        </w:rPr>
        <w:t>附件</w:t>
      </w:r>
      <w:r>
        <w:rPr>
          <w:rFonts w:hint="eastAsia" w:cs="仿宋"/>
          <w:spacing w:val="-3"/>
          <w:sz w:val="24"/>
          <w:szCs w:val="24"/>
          <w:lang w:val="en-US" w:eastAsia="zh-CN"/>
        </w:rPr>
        <w:t>1</w:t>
      </w:r>
      <w:r>
        <w:rPr>
          <w:rFonts w:hint="eastAsia" w:cs="仿宋"/>
          <w:spacing w:val="-5"/>
          <w:sz w:val="24"/>
          <w:szCs w:val="24"/>
          <w:lang w:eastAsia="zh-CN"/>
        </w:rPr>
        <w:t>：</w:t>
      </w:r>
      <w:bookmarkStart w:id="5" w:name="_GoBack"/>
      <w:bookmarkEnd w:id="5"/>
    </w:p>
    <w:p w14:paraId="5EBEEAE0">
      <w:pPr>
        <w:spacing w:before="8"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</w:p>
    <w:p w14:paraId="5D456D10">
      <w:pPr>
        <w:pStyle w:val="12"/>
        <w:spacing w:before="4" w:line="360" w:lineRule="auto"/>
        <w:ind w:left="709" w:right="285" w:firstLine="141"/>
        <w:jc w:val="center"/>
        <w:rPr>
          <w:rFonts w:hint="eastAsia" w:cs="仿宋"/>
          <w:b/>
          <w:bCs/>
          <w:spacing w:val="9"/>
          <w:sz w:val="24"/>
          <w:szCs w:val="24"/>
          <w:lang w:eastAsia="zh-CN"/>
        </w:rPr>
      </w:pPr>
      <w:r>
        <w:rPr>
          <w:rFonts w:hint="eastAsia" w:cs="仿宋"/>
          <w:b/>
          <w:bCs/>
          <w:spacing w:val="14"/>
          <w:sz w:val="24"/>
          <w:szCs w:val="24"/>
          <w:lang w:eastAsia="zh-CN"/>
        </w:rPr>
        <w:t>202</w:t>
      </w:r>
      <w:r>
        <w:rPr>
          <w:rFonts w:hint="eastAsia" w:cs="仿宋"/>
          <w:b/>
          <w:bCs/>
          <w:spacing w:val="14"/>
          <w:sz w:val="24"/>
          <w:szCs w:val="24"/>
          <w:lang w:val="en-US" w:eastAsia="zh-CN"/>
        </w:rPr>
        <w:t>6</w:t>
      </w:r>
      <w:r>
        <w:rPr>
          <w:rFonts w:hint="eastAsia" w:cs="仿宋"/>
          <w:b/>
          <w:bCs/>
          <w:spacing w:val="14"/>
          <w:sz w:val="24"/>
          <w:szCs w:val="24"/>
          <w:lang w:eastAsia="zh-CN"/>
        </w:rPr>
        <w:t>“理解当代中国</w:t>
      </w:r>
      <w:r>
        <w:rPr>
          <w:rFonts w:hint="eastAsia" w:cs="仿宋"/>
          <w:b/>
          <w:bCs/>
          <w:sz w:val="24"/>
          <w:szCs w:val="24"/>
          <w:lang w:eastAsia="zh-CN"/>
        </w:rPr>
        <w:t>”</w:t>
      </w:r>
      <w:r>
        <w:rPr>
          <w:rFonts w:hint="eastAsia" w:cs="仿宋"/>
          <w:b/>
          <w:bCs/>
          <w:spacing w:val="9"/>
          <w:sz w:val="24"/>
          <w:szCs w:val="24"/>
          <w:lang w:eastAsia="zh-CN"/>
        </w:rPr>
        <w:t>全国大学生外语能力大赛</w:t>
      </w:r>
    </w:p>
    <w:p w14:paraId="4B75E8E9">
      <w:pPr>
        <w:pStyle w:val="12"/>
        <w:spacing w:before="4" w:line="360" w:lineRule="auto"/>
        <w:ind w:left="709" w:right="285" w:firstLine="141"/>
        <w:jc w:val="center"/>
        <w:rPr>
          <w:rFonts w:hint="eastAsia" w:cs="仿宋"/>
          <w:b/>
          <w:bCs/>
          <w:sz w:val="24"/>
          <w:szCs w:val="24"/>
          <w:lang w:eastAsia="zh-CN"/>
        </w:rPr>
      </w:pPr>
      <w:r>
        <w:rPr>
          <w:rFonts w:hint="eastAsia" w:cs="仿宋"/>
          <w:b/>
          <w:bCs/>
          <w:spacing w:val="9"/>
          <w:sz w:val="24"/>
          <w:szCs w:val="24"/>
          <w:lang w:eastAsia="zh-CN"/>
        </w:rPr>
        <w:t>福建理工大学选拔赛</w:t>
      </w:r>
      <w:r>
        <w:rPr>
          <w:rFonts w:hint="eastAsia" w:cs="仿宋"/>
          <w:b/>
          <w:bCs/>
          <w:spacing w:val="6"/>
          <w:sz w:val="24"/>
          <w:szCs w:val="24"/>
          <w:lang w:eastAsia="zh-CN"/>
        </w:rPr>
        <w:t>综合能力组方案</w:t>
      </w:r>
    </w:p>
    <w:p w14:paraId="05751448">
      <w:pPr>
        <w:pStyle w:val="12"/>
        <w:spacing w:before="104" w:line="360" w:lineRule="auto"/>
        <w:ind w:left="136" w:right="103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5"/>
          <w:sz w:val="24"/>
          <w:szCs w:val="24"/>
          <w:lang w:eastAsia="zh-CN"/>
        </w:rPr>
        <w:t>一、大赛宗旨</w:t>
      </w:r>
    </w:p>
    <w:p w14:paraId="7797B544">
      <w:pPr>
        <w:pStyle w:val="12"/>
        <w:spacing w:before="230" w:line="360" w:lineRule="auto"/>
        <w:ind w:right="271" w:firstLine="652"/>
        <w:jc w:val="both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11"/>
          <w:sz w:val="24"/>
          <w:szCs w:val="24"/>
          <w:lang w:eastAsia="zh-CN"/>
        </w:rPr>
        <w:t>引导当代大学生理解当代中国，深入领会习近平新时代中国特色社会主义思想的核心要义，深刻认识当代中国的发</w:t>
      </w:r>
      <w:r>
        <w:rPr>
          <w:rFonts w:hint="eastAsia" w:cs="仿宋"/>
          <w:spacing w:val="7"/>
          <w:sz w:val="24"/>
          <w:szCs w:val="24"/>
          <w:lang w:eastAsia="zh-CN"/>
        </w:rPr>
        <w:t>展与成就，</w:t>
      </w:r>
      <w:r>
        <w:rPr>
          <w:rFonts w:hint="eastAsia" w:cs="仿宋"/>
          <w:spacing w:val="-52"/>
          <w:sz w:val="24"/>
          <w:szCs w:val="24"/>
          <w:lang w:eastAsia="zh-CN"/>
        </w:rPr>
        <w:t xml:space="preserve"> </w:t>
      </w:r>
      <w:r>
        <w:rPr>
          <w:rFonts w:hint="eastAsia" w:cs="仿宋"/>
          <w:spacing w:val="8"/>
          <w:sz w:val="24"/>
          <w:szCs w:val="24"/>
          <w:lang w:eastAsia="zh-CN"/>
        </w:rPr>
        <w:t>向国际社会分享中国改革与发展的经验与智慧；</w:t>
      </w:r>
      <w:r>
        <w:rPr>
          <w:rFonts w:hint="eastAsia" w:cs="仿宋"/>
          <w:spacing w:val="11"/>
          <w:sz w:val="24"/>
          <w:szCs w:val="24"/>
          <w:lang w:eastAsia="zh-CN"/>
        </w:rPr>
        <w:t>切实提高学生的语言实践能力与综合素养，提升学生的国际传播能力；推动高校英语教学改革与创新，为培养堪当民族</w:t>
      </w:r>
      <w:r>
        <w:rPr>
          <w:rFonts w:hint="eastAsia" w:cs="仿宋"/>
          <w:spacing w:val="6"/>
          <w:sz w:val="24"/>
          <w:szCs w:val="24"/>
          <w:lang w:eastAsia="zh-CN"/>
        </w:rPr>
        <w:t>复兴大任的高素质国际化外语人才作出贡献。</w:t>
      </w:r>
    </w:p>
    <w:p w14:paraId="1211EADE">
      <w:pPr>
        <w:pStyle w:val="12"/>
        <w:spacing w:before="56" w:line="360" w:lineRule="auto"/>
        <w:ind w:left="136" w:right="103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5"/>
          <w:sz w:val="24"/>
          <w:szCs w:val="24"/>
          <w:lang w:eastAsia="zh-CN"/>
        </w:rPr>
        <w:t>二、大赛内容</w:t>
      </w:r>
    </w:p>
    <w:p w14:paraId="379E9BA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2" w:line="360" w:lineRule="auto"/>
        <w:ind w:left="142" w:right="108" w:firstLine="480" w:firstLineChars="200"/>
        <w:textAlignment w:val="auto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z w:val="24"/>
          <w:szCs w:val="24"/>
          <w:lang w:eastAsia="zh-CN"/>
        </w:rPr>
        <w:t>赛题涵盖习近平新时代中国特色社会主义思想核心内容，涉及经济建设、政治建设、文化建设、社会建设和生态文明建设等领域的重要话题，考查形式包括</w:t>
      </w:r>
      <w:r>
        <w:rPr>
          <w:rFonts w:hint="eastAsia" w:cs="仿宋"/>
          <w:b/>
          <w:bCs/>
          <w:sz w:val="24"/>
          <w:szCs w:val="24"/>
          <w:lang w:eastAsia="zh-CN"/>
        </w:rPr>
        <w:t>阅读、写作、翻译、演讲等</w:t>
      </w:r>
      <w:r>
        <w:rPr>
          <w:rFonts w:hint="eastAsia" w:cs="仿宋"/>
          <w:sz w:val="24"/>
          <w:szCs w:val="24"/>
          <w:lang w:eastAsia="zh-CN"/>
        </w:rPr>
        <w:t>。部分赛题素材选自《习近平谈治国理政》第一卷、第二卷、第三卷、第四卷、</w:t>
      </w:r>
      <w:r>
        <w:rPr>
          <w:rFonts w:hint="eastAsia" w:cs="仿宋"/>
          <w:sz w:val="24"/>
          <w:szCs w:val="24"/>
          <w:lang w:val="en-US" w:eastAsia="zh-CN"/>
        </w:rPr>
        <w:t>第五卷</w:t>
      </w:r>
      <w:r>
        <w:rPr>
          <w:rFonts w:hint="eastAsia" w:cs="仿宋"/>
          <w:sz w:val="24"/>
          <w:szCs w:val="24"/>
          <w:lang w:eastAsia="zh-CN"/>
        </w:rPr>
        <w:t>，《习近平总书记教育重要论述讲义》、《教育强国建设规划纲要（2024—2035年）》、高等学校《理解当代中国》系列教材和《理解当代中国 核心术语学习手册》（汉英对照）等。</w:t>
      </w:r>
    </w:p>
    <w:p w14:paraId="4BC3C22E">
      <w:pPr>
        <w:pStyle w:val="12"/>
        <w:spacing w:before="232" w:line="360" w:lineRule="auto"/>
        <w:ind w:right="110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4"/>
          <w:sz w:val="24"/>
          <w:szCs w:val="24"/>
          <w:lang w:eastAsia="zh-CN"/>
        </w:rPr>
        <w:t>三、大赛安排</w:t>
      </w:r>
    </w:p>
    <w:p w14:paraId="2FFD2BF7">
      <w:pPr>
        <w:pStyle w:val="12"/>
        <w:spacing w:before="59" w:line="360" w:lineRule="auto"/>
        <w:ind w:left="191" w:right="103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-7"/>
          <w:sz w:val="24"/>
          <w:szCs w:val="24"/>
          <w:lang w:eastAsia="zh-CN"/>
        </w:rPr>
        <w:t>(一)校赛</w:t>
      </w:r>
    </w:p>
    <w:p w14:paraId="1E8C60A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1" w:line="360" w:lineRule="auto"/>
        <w:ind w:left="130" w:right="96" w:firstLine="524" w:firstLineChars="200"/>
        <w:textAlignment w:val="auto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11"/>
          <w:sz w:val="24"/>
          <w:szCs w:val="24"/>
          <w:lang w:eastAsia="zh-CN"/>
        </w:rPr>
        <w:t>参赛注册：</w:t>
      </w:r>
      <w:r>
        <w:rPr>
          <w:rFonts w:hint="eastAsia" w:cs="仿宋"/>
          <w:spacing w:val="4"/>
          <w:sz w:val="24"/>
          <w:szCs w:val="24"/>
          <w:lang w:eastAsia="zh-CN"/>
        </w:rPr>
        <w:t>在</w:t>
      </w:r>
      <w:r>
        <w:rPr>
          <w:rFonts w:hint="eastAsia" w:cs="仿宋"/>
          <w:b/>
          <w:bCs/>
          <w:spacing w:val="4"/>
          <w:sz w:val="24"/>
          <w:szCs w:val="24"/>
          <w:lang w:eastAsia="zh-CN"/>
        </w:rPr>
        <w:t>提交参赛报名表</w:t>
      </w:r>
      <w:r>
        <w:rPr>
          <w:rFonts w:hint="eastAsia" w:cs="仿宋"/>
          <w:b w:val="0"/>
          <w:bCs w:val="0"/>
          <w:spacing w:val="4"/>
          <w:sz w:val="24"/>
          <w:szCs w:val="24"/>
          <w:lang w:eastAsia="zh-CN"/>
        </w:rPr>
        <w:t>、</w:t>
      </w:r>
      <w:r>
        <w:rPr>
          <w:rFonts w:hint="eastAsia" w:cs="仿宋"/>
          <w:b w:val="0"/>
          <w:bCs w:val="0"/>
          <w:spacing w:val="4"/>
          <w:sz w:val="24"/>
          <w:szCs w:val="24"/>
          <w:lang w:val="en-US" w:eastAsia="zh-CN"/>
        </w:rPr>
        <w:t>通过审核</w:t>
      </w:r>
      <w:r>
        <w:rPr>
          <w:rFonts w:hint="eastAsia" w:cs="仿宋"/>
          <w:spacing w:val="4"/>
          <w:sz w:val="24"/>
          <w:szCs w:val="24"/>
          <w:lang w:eastAsia="zh-CN"/>
        </w:rPr>
        <w:t>的前提下，</w:t>
      </w:r>
      <w:r>
        <w:rPr>
          <w:rFonts w:hint="eastAsia" w:cs="仿宋"/>
          <w:spacing w:val="11"/>
          <w:sz w:val="24"/>
          <w:szCs w:val="24"/>
          <w:lang w:eastAsia="zh-CN"/>
        </w:rPr>
        <w:t>大赛官网将于9月2</w:t>
      </w:r>
      <w:r>
        <w:rPr>
          <w:rFonts w:hint="eastAsia" w:cs="仿宋"/>
          <w:spacing w:val="11"/>
          <w:sz w:val="24"/>
          <w:szCs w:val="24"/>
          <w:lang w:val="en-US" w:eastAsia="zh-CN"/>
        </w:rPr>
        <w:t>8</w:t>
      </w:r>
      <w:r>
        <w:rPr>
          <w:rFonts w:hint="eastAsia" w:cs="仿宋"/>
          <w:spacing w:val="11"/>
          <w:sz w:val="24"/>
          <w:szCs w:val="24"/>
          <w:lang w:eastAsia="zh-CN"/>
        </w:rPr>
        <w:t>日起开放参赛报名页面。参赛选手须在大赛官网的“选手报名/参赛”页面注册报名。</w:t>
      </w:r>
      <w:r>
        <w:rPr>
          <w:rFonts w:hint="eastAsia" w:cs="仿宋"/>
          <w:sz w:val="24"/>
          <w:szCs w:val="24"/>
          <w:lang w:eastAsia="zh-CN"/>
        </w:rPr>
        <w:t xml:space="preserve"> </w:t>
      </w:r>
    </w:p>
    <w:p w14:paraId="0A638EF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" w:line="360" w:lineRule="auto"/>
        <w:ind w:left="136" w:right="136" w:firstLine="524" w:firstLineChars="200"/>
        <w:textAlignment w:val="auto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11"/>
          <w:sz w:val="24"/>
          <w:szCs w:val="24"/>
          <w:lang w:eastAsia="zh-CN"/>
        </w:rPr>
        <w:t>组织方式：全校报名</w:t>
      </w:r>
      <w:r>
        <w:rPr>
          <w:rFonts w:hint="eastAsia" w:cs="仿宋"/>
          <w:spacing w:val="11"/>
          <w:sz w:val="24"/>
          <w:szCs w:val="24"/>
          <w:lang w:val="en-US" w:eastAsia="zh-CN"/>
        </w:rPr>
        <w:t>本</w:t>
      </w:r>
      <w:r>
        <w:rPr>
          <w:rFonts w:hint="eastAsia" w:cs="仿宋"/>
          <w:spacing w:val="11"/>
          <w:sz w:val="24"/>
          <w:szCs w:val="24"/>
          <w:lang w:eastAsia="zh-CN"/>
        </w:rPr>
        <w:t>组别的选手统一时间参加</w:t>
      </w:r>
      <w:r>
        <w:rPr>
          <w:rFonts w:hint="eastAsia" w:cs="仿宋"/>
          <w:spacing w:val="10"/>
          <w:sz w:val="24"/>
          <w:szCs w:val="24"/>
          <w:lang w:eastAsia="zh-CN"/>
        </w:rPr>
        <w:t>大赛组委会举办的全国统一线上初赛。</w:t>
      </w:r>
    </w:p>
    <w:p w14:paraId="286FDC4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" w:line="360" w:lineRule="auto"/>
        <w:ind w:firstLine="448" w:firstLineChars="200"/>
        <w:textAlignment w:val="auto"/>
        <w:rPr>
          <w:rFonts w:hint="eastAsia" w:cs="仿宋"/>
          <w:spacing w:val="-6"/>
          <w:sz w:val="24"/>
          <w:szCs w:val="24"/>
          <w:lang w:eastAsia="zh-CN"/>
        </w:rPr>
      </w:pPr>
      <w:r>
        <w:rPr>
          <w:rFonts w:hint="eastAsia" w:cs="仿宋"/>
          <w:spacing w:val="-8"/>
          <w:sz w:val="24"/>
          <w:szCs w:val="24"/>
          <w:lang w:eastAsia="zh-CN"/>
        </w:rPr>
        <w:t>比赛时间：</w:t>
      </w:r>
      <w:r>
        <w:rPr>
          <w:rFonts w:hint="eastAsia" w:cs="仿宋"/>
          <w:spacing w:val="10"/>
          <w:sz w:val="24"/>
          <w:szCs w:val="24"/>
          <w:lang w:eastAsia="zh-CN"/>
        </w:rPr>
        <w:t>10月1</w:t>
      </w:r>
      <w:r>
        <w:rPr>
          <w:rFonts w:hint="eastAsia" w:cs="仿宋"/>
          <w:spacing w:val="10"/>
          <w:sz w:val="24"/>
          <w:szCs w:val="24"/>
          <w:lang w:val="en-US" w:eastAsia="zh-CN"/>
        </w:rPr>
        <w:t>1</w:t>
      </w:r>
      <w:r>
        <w:rPr>
          <w:rFonts w:hint="eastAsia" w:cs="仿宋"/>
          <w:spacing w:val="10"/>
          <w:sz w:val="24"/>
          <w:szCs w:val="24"/>
          <w:lang w:eastAsia="zh-CN"/>
        </w:rPr>
        <w:t>日13:30—15:00</w:t>
      </w:r>
    </w:p>
    <w:p w14:paraId="6662DED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9" w:line="360" w:lineRule="auto"/>
        <w:ind w:left="142" w:right="121" w:firstLine="504" w:firstLineChars="200"/>
        <w:jc w:val="both"/>
        <w:textAlignment w:val="auto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6"/>
          <w:sz w:val="24"/>
          <w:szCs w:val="24"/>
          <w:lang w:eastAsia="zh-CN"/>
        </w:rPr>
        <w:t>比赛内容：全国统一线上初赛赛题由大赛组委会提供，包括</w:t>
      </w:r>
      <w:r>
        <w:rPr>
          <w:rFonts w:hint="eastAsia" w:cs="仿宋"/>
          <w:spacing w:val="4"/>
          <w:sz w:val="24"/>
          <w:szCs w:val="24"/>
          <w:lang w:eastAsia="zh-CN"/>
        </w:rPr>
        <w:t>客观题若干道和议论文写作</w:t>
      </w:r>
      <w:r>
        <w:rPr>
          <w:rFonts w:hint="eastAsia" w:cs="仿宋"/>
          <w:sz w:val="24"/>
          <w:szCs w:val="24"/>
          <w:lang w:eastAsia="zh-CN"/>
        </w:rPr>
        <w:t>1</w:t>
      </w:r>
      <w:r>
        <w:rPr>
          <w:rFonts w:hint="eastAsia" w:cs="仿宋"/>
          <w:spacing w:val="-62"/>
          <w:sz w:val="24"/>
          <w:szCs w:val="24"/>
          <w:lang w:eastAsia="zh-CN"/>
        </w:rPr>
        <w:t xml:space="preserve"> </w:t>
      </w:r>
      <w:r>
        <w:rPr>
          <w:rFonts w:hint="eastAsia" w:cs="仿宋"/>
          <w:spacing w:val="4"/>
          <w:sz w:val="24"/>
          <w:szCs w:val="24"/>
          <w:lang w:eastAsia="zh-CN"/>
        </w:rPr>
        <w:t>篇，详细信息参见下表。</w:t>
      </w:r>
    </w:p>
    <w:p w14:paraId="7A0AF341">
      <w:pPr>
        <w:spacing w:before="99" w:line="360" w:lineRule="auto"/>
        <w:ind w:left="2776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表</w:t>
      </w:r>
      <w:r>
        <w:rPr>
          <w:rFonts w:hint="eastAsia" w:ascii="仿宋" w:hAnsi="仿宋" w:eastAsia="仿宋" w:cs="仿宋"/>
          <w:spacing w:val="-4"/>
          <w:sz w:val="24"/>
          <w:szCs w:val="24"/>
        </w:rPr>
        <w:t>1：</w:t>
      </w:r>
      <w:r>
        <w:rPr>
          <w:rFonts w:hint="eastAsia" w:ascii="仿宋" w:hAnsi="仿宋" w:eastAsia="仿宋" w:cs="仿宋"/>
          <w:spacing w:val="-16"/>
          <w:sz w:val="24"/>
          <w:szCs w:val="24"/>
        </w:rPr>
        <w:t>综合能力组</w:t>
      </w:r>
      <w:r>
        <w:rPr>
          <w:rFonts w:hint="eastAsia" w:ascii="仿宋" w:hAnsi="仿宋" w:eastAsia="仿宋" w:cs="仿宋"/>
          <w:spacing w:val="-6"/>
          <w:sz w:val="24"/>
          <w:szCs w:val="24"/>
        </w:rPr>
        <w:t>线上初赛赛题构成</w:t>
      </w:r>
    </w:p>
    <w:p w14:paraId="11230412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537835" cy="3121660"/>
            <wp:effectExtent l="0" t="0" r="571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312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FD8F8">
      <w:pPr>
        <w:pStyle w:val="12"/>
        <w:numPr>
          <w:ilvl w:val="0"/>
          <w:numId w:val="1"/>
        </w:numPr>
        <w:spacing w:before="34" w:line="360" w:lineRule="auto"/>
        <w:ind w:left="175" w:right="227" w:hanging="8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z w:val="24"/>
          <w:szCs w:val="24"/>
          <w:lang w:eastAsia="zh-CN"/>
        </w:rPr>
        <w:t>省赛及国赛</w:t>
      </w:r>
    </w:p>
    <w:p w14:paraId="03135EF1">
      <w:pPr>
        <w:pStyle w:val="12"/>
        <w:spacing w:before="34" w:line="360" w:lineRule="auto"/>
        <w:ind w:left="136" w:right="227" w:firstLine="480" w:firstLineChars="200"/>
        <w:jc w:val="both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为了与国赛赛制匹配，确保选拔出整体综合能力强的选手代表福建参加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国赛国际传播综合能力项目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的比赛，2026年福建省赛对综合能力组和演讲组两个组别选手成绩进行综合考量，即综合能力组和演讲组分别组织比赛，竞赛结束后两组成绩加总平均后按照排序取前31的晋级国赛。省赛将于10月31日于福建师范大学举办。</w:t>
      </w:r>
    </w:p>
    <w:p w14:paraId="192DE38C">
      <w:pPr>
        <w:pStyle w:val="12"/>
        <w:spacing w:before="62" w:line="360" w:lineRule="auto"/>
        <w:ind w:left="148" w:right="1462"/>
        <w:rPr>
          <w:rFonts w:hint="eastAsia" w:cs="仿宋"/>
          <w:sz w:val="24"/>
          <w:szCs w:val="24"/>
          <w:lang w:eastAsia="zh-CN"/>
        </w:rPr>
      </w:pPr>
      <w:bookmarkStart w:id="2" w:name="四、指定书目"/>
      <w:bookmarkEnd w:id="2"/>
      <w:r>
        <w:rPr>
          <w:rFonts w:hint="eastAsia" w:cs="仿宋"/>
          <w:spacing w:val="3"/>
          <w:sz w:val="24"/>
          <w:szCs w:val="24"/>
          <w:lang w:eastAsia="zh-CN"/>
        </w:rPr>
        <w:t>四、指定书目</w:t>
      </w:r>
    </w:p>
    <w:p w14:paraId="2ED47BE7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为助力广大选手科学备赛，提升综合能力，大赛组委会特邀外语教育资深专家筛选出下列图书作为202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“外研社·国才杯”“理解当代中国”全国大学生外语能力大赛英语组国际传播综合能力赛项指定书目。参见</w:t>
      </w:r>
      <w:r>
        <w:rPr>
          <w:rFonts w:hint="eastAsia" w:ascii="仿宋" w:hAnsi="仿宋" w:eastAsia="仿宋" w:cs="仿宋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</w:rPr>
        <w:instrText xml:space="preserve"> HYPERLINK "https://heep-jczt.fltrp.com/ucc-resources/yy/#guoji" </w:instrText>
      </w:r>
      <w:r>
        <w:rPr>
          <w:rFonts w:hint="eastAsia" w:ascii="仿宋" w:hAnsi="仿宋" w:eastAsia="仿宋" w:cs="仿宋"/>
          <w:sz w:val="24"/>
          <w:szCs w:val="24"/>
        </w:rPr>
        <w:fldChar w:fldCharType="separate"/>
      </w:r>
      <w:r>
        <w:rPr>
          <w:rStyle w:val="22"/>
          <w:rFonts w:hint="eastAsia" w:ascii="仿宋" w:hAnsi="仿宋" w:eastAsia="仿宋" w:cs="仿宋"/>
          <w:sz w:val="24"/>
          <w:szCs w:val="24"/>
        </w:rPr>
        <w:t>https://heep-jczt.fltrp.com/ucc-resources/yy/#guoji</w:t>
      </w:r>
      <w:r>
        <w:rPr>
          <w:rFonts w:hint="eastAsia" w:ascii="仿宋" w:hAnsi="仿宋" w:eastAsia="仿宋" w:cs="仿宋"/>
          <w:sz w:val="24"/>
          <w:szCs w:val="24"/>
        </w:rPr>
        <w:fldChar w:fldCharType="end"/>
      </w:r>
    </w:p>
    <w:p w14:paraId="7C0137CC">
      <w:pPr>
        <w:pStyle w:val="12"/>
        <w:spacing w:before="4" w:line="360" w:lineRule="auto"/>
        <w:ind w:left="239" w:right="107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4"/>
          <w:sz w:val="24"/>
          <w:szCs w:val="24"/>
          <w:lang w:eastAsia="zh-CN"/>
        </w:rPr>
        <w:t>五、奖项设置</w:t>
      </w:r>
    </w:p>
    <w:p w14:paraId="3026AAB8">
      <w:pPr>
        <w:pStyle w:val="12"/>
        <w:spacing w:line="360" w:lineRule="auto"/>
        <w:ind w:left="255" w:right="108"/>
        <w:rPr>
          <w:rFonts w:hint="eastAsia" w:cs="仿宋"/>
          <w:sz w:val="24"/>
          <w:szCs w:val="24"/>
          <w:lang w:eastAsia="zh-CN"/>
        </w:rPr>
      </w:pPr>
      <w:r>
        <w:rPr>
          <w:rFonts w:hint="eastAsia" w:cs="仿宋"/>
          <w:spacing w:val="11"/>
          <w:sz w:val="24"/>
          <w:szCs w:val="24"/>
          <w:lang w:eastAsia="zh-CN"/>
        </w:rPr>
        <w:t>校赛参照大赛官网规定比例及实际参赛人数设置</w:t>
      </w:r>
      <w:r>
        <w:rPr>
          <w:rFonts w:hint="eastAsia" w:cs="仿宋"/>
          <w:spacing w:val="11"/>
          <w:sz w:val="24"/>
          <w:szCs w:val="24"/>
          <w:lang w:val="en-US" w:eastAsia="zh-CN"/>
        </w:rPr>
        <w:t>金</w:t>
      </w:r>
      <w:r>
        <w:rPr>
          <w:rFonts w:hint="eastAsia" w:cs="仿宋"/>
          <w:spacing w:val="11"/>
          <w:sz w:val="24"/>
          <w:szCs w:val="24"/>
          <w:lang w:eastAsia="zh-CN"/>
        </w:rPr>
        <w:t>、</w:t>
      </w:r>
      <w:r>
        <w:rPr>
          <w:rFonts w:hint="eastAsia" w:cs="仿宋"/>
          <w:spacing w:val="11"/>
          <w:sz w:val="24"/>
          <w:szCs w:val="24"/>
          <w:lang w:val="en-US" w:eastAsia="zh-CN"/>
        </w:rPr>
        <w:t>银</w:t>
      </w:r>
      <w:r>
        <w:rPr>
          <w:rFonts w:hint="eastAsia" w:cs="仿宋"/>
          <w:spacing w:val="11"/>
          <w:sz w:val="24"/>
          <w:szCs w:val="24"/>
          <w:lang w:eastAsia="zh-CN"/>
        </w:rPr>
        <w:t>、</w:t>
      </w:r>
      <w:r>
        <w:rPr>
          <w:rFonts w:hint="eastAsia" w:cs="仿宋"/>
          <w:spacing w:val="11"/>
          <w:sz w:val="24"/>
          <w:szCs w:val="24"/>
          <w:lang w:val="en-US" w:eastAsia="zh-CN"/>
        </w:rPr>
        <w:t>铜</w:t>
      </w:r>
      <w:r>
        <w:rPr>
          <w:rFonts w:hint="eastAsia" w:cs="仿宋"/>
          <w:spacing w:val="11"/>
          <w:sz w:val="24"/>
          <w:szCs w:val="24"/>
          <w:lang w:eastAsia="zh-CN"/>
        </w:rPr>
        <w:t>奖，省赛选手奖项设置</w:t>
      </w:r>
      <w:r>
        <w:rPr>
          <w:rFonts w:hint="eastAsia" w:cs="仿宋"/>
          <w:spacing w:val="11"/>
          <w:sz w:val="24"/>
          <w:szCs w:val="24"/>
          <w:lang w:val="en-US" w:eastAsia="zh-CN"/>
        </w:rPr>
        <w:t>比例为</w:t>
      </w:r>
      <w:r>
        <w:rPr>
          <w:rFonts w:hint="eastAsia" w:cs="仿宋"/>
          <w:spacing w:val="11"/>
          <w:sz w:val="24"/>
          <w:szCs w:val="24"/>
          <w:lang w:eastAsia="zh-CN"/>
        </w:rPr>
        <w:t>金奖5%、银奖15%、铜奖25%、优胜奖25%。</w:t>
      </w:r>
      <w:bookmarkStart w:id="3" w:name="_bookmark14"/>
      <w:bookmarkEnd w:id="3"/>
      <w:bookmarkStart w:id="4" w:name="附件_1-3："/>
      <w:bookmarkEnd w:id="4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58C4C">
    <w:pPr>
      <w:spacing w:line="14" w:lineRule="auto"/>
      <w:rPr>
        <w:rFonts w:hint="eastAsia"/>
        <w:sz w:val="20"/>
        <w:szCs w:val="20"/>
      </w:rPr>
    </w:pPr>
    <w:r>
      <w:rPr>
        <w:rFonts w:hint="eastAsia"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3575685</wp:posOffset>
              </wp:positionH>
              <wp:positionV relativeFrom="page">
                <wp:posOffset>9979660</wp:posOffset>
              </wp:positionV>
              <wp:extent cx="499745" cy="141605"/>
              <wp:effectExtent l="3810" t="0" r="1270" b="3810"/>
              <wp:wrapNone/>
              <wp:docPr id="4947958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74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ABA53">
                          <w:pPr>
                            <w:spacing w:line="206" w:lineRule="exact"/>
                            <w:ind w:left="215"/>
                            <w:rPr>
                              <w:rFonts w:ascii="Arial" w:hAnsi="Arial" w:eastAsia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81.55pt;margin-top:785.8pt;height:11.15pt;width:39.35pt;mso-position-horizontal-relative:page;mso-position-vertical-relative:page;z-index:-251657216;mso-width-relative:page;mso-height-relative:page;" filled="f" stroked="f" coordsize="21600,21600" o:gfxdata="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1FlYj2gAAAA0BAAAPAAAA&#10;AAAAAAEAIAAAACIAAABkcnMvZG93bnJldi54bWxQSwECFAAUAAAACACHTuJAHCCOSBMCAAAMBAAA&#10;DgAAAAAAAAABACAAAAApAQAAZHJzL2Uyb0RvYy54bWxQSwUGAAAAAAYABgBZAQAAr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BABA53">
                    <w:pPr>
                      <w:spacing w:line="206" w:lineRule="exact"/>
                      <w:ind w:left="215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56F7C0"/>
    <w:multiLevelType w:val="singleLevel"/>
    <w:tmpl w:val="1156F7C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RlYzZmOTQ3NTM0NDliMjIyMDE3YjcwNGIyODgzNTEifQ=="/>
  </w:docVars>
  <w:rsids>
    <w:rsidRoot w:val="00FD24F5"/>
    <w:rsid w:val="001B1371"/>
    <w:rsid w:val="0023046B"/>
    <w:rsid w:val="002633F5"/>
    <w:rsid w:val="002A4BA4"/>
    <w:rsid w:val="00332247"/>
    <w:rsid w:val="00402135"/>
    <w:rsid w:val="004E6090"/>
    <w:rsid w:val="005B0860"/>
    <w:rsid w:val="005C723E"/>
    <w:rsid w:val="00692BD5"/>
    <w:rsid w:val="006A1CF6"/>
    <w:rsid w:val="006B099E"/>
    <w:rsid w:val="00710160"/>
    <w:rsid w:val="00733877"/>
    <w:rsid w:val="00881A79"/>
    <w:rsid w:val="009667C7"/>
    <w:rsid w:val="00AB2043"/>
    <w:rsid w:val="00B863FC"/>
    <w:rsid w:val="00CA4A85"/>
    <w:rsid w:val="00CD2966"/>
    <w:rsid w:val="00D3662C"/>
    <w:rsid w:val="00D517B9"/>
    <w:rsid w:val="00D620DA"/>
    <w:rsid w:val="00D87F6B"/>
    <w:rsid w:val="00DB1B8E"/>
    <w:rsid w:val="00EF4ADC"/>
    <w:rsid w:val="00FD24F5"/>
    <w:rsid w:val="06F33B8F"/>
    <w:rsid w:val="08AC2C45"/>
    <w:rsid w:val="0CAB045E"/>
    <w:rsid w:val="19741C39"/>
    <w:rsid w:val="1EF220F2"/>
    <w:rsid w:val="2417336C"/>
    <w:rsid w:val="24E67A65"/>
    <w:rsid w:val="264C1661"/>
    <w:rsid w:val="32544FB6"/>
    <w:rsid w:val="36EF7E2E"/>
    <w:rsid w:val="377B395A"/>
    <w:rsid w:val="3F306FCE"/>
    <w:rsid w:val="41B30A92"/>
    <w:rsid w:val="426975C8"/>
    <w:rsid w:val="42DC29F5"/>
    <w:rsid w:val="4AB1122C"/>
    <w:rsid w:val="4C9E4F95"/>
    <w:rsid w:val="4D5B44F4"/>
    <w:rsid w:val="5B2B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8"/>
    <w:unhideWhenUsed/>
    <w:qFormat/>
    <w:uiPriority w:val="99"/>
    <w:pPr>
      <w:jc w:val="left"/>
    </w:pPr>
  </w:style>
  <w:style w:type="paragraph" w:styleId="12">
    <w:name w:val="Body Text"/>
    <w:basedOn w:val="1"/>
    <w:link w:val="46"/>
    <w:qFormat/>
    <w:uiPriority w:val="1"/>
    <w:pPr>
      <w:ind w:left="139"/>
      <w:jc w:val="left"/>
    </w:pPr>
    <w:rPr>
      <w:rFonts w:ascii="仿宋" w:hAnsi="仿宋" w:eastAsia="仿宋"/>
      <w:kern w:val="0"/>
      <w:sz w:val="31"/>
      <w:szCs w:val="31"/>
      <w:lang w:eastAsia="en-US"/>
    </w:rPr>
  </w:style>
  <w:style w:type="paragraph" w:styleId="13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9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0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0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4">
    <w:name w:val="页脚 字符"/>
    <w:basedOn w:val="20"/>
    <w:link w:val="13"/>
    <w:qFormat/>
    <w:uiPriority w:val="99"/>
    <w:rPr>
      <w:sz w:val="18"/>
      <w:szCs w:val="18"/>
    </w:rPr>
  </w:style>
  <w:style w:type="table" w:customStyle="1" w:styleId="4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6">
    <w:name w:val="正文文本 字符"/>
    <w:basedOn w:val="20"/>
    <w:link w:val="12"/>
    <w:qFormat/>
    <w:uiPriority w:val="1"/>
    <w:rPr>
      <w:rFonts w:ascii="仿宋" w:hAnsi="仿宋" w:eastAsia="仿宋"/>
      <w:kern w:val="0"/>
      <w:sz w:val="31"/>
      <w:szCs w:val="31"/>
      <w:lang w:eastAsia="en-US"/>
    </w:rPr>
  </w:style>
  <w:style w:type="paragraph" w:customStyle="1" w:styleId="47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character" w:customStyle="1" w:styleId="48">
    <w:name w:val="批注文字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9">
    <w:name w:val="批注主题 字符"/>
    <w:basedOn w:val="48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593</Words>
  <Characters>613</Characters>
  <Lines>210</Lines>
  <Paragraphs>148</Paragraphs>
  <TotalTime>2</TotalTime>
  <ScaleCrop>false</ScaleCrop>
  <LinksUpToDate>false</LinksUpToDate>
  <CharactersWithSpaces>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2024-09-02T02:40:00Z</dcterms:created>
  <dc:creator>laoni</dc:creator>
  <cp:lastModifiedBy>H+H</cp:lastModifiedBy>
  <dcterms:modified xsi:type="dcterms:W3CDTF">2026-09-17T12:36:56Z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1283EE1B02EC45759EA86A9A6BCEC432_13</vt:lpwstr>
  </property>
  <property fmtid="{D5CDD505-2E9C-101B-9397-08002B2CF9AE}" pid="4" name="KSOTemplateDocerSaveRecord">
    <vt:lpwstr>eyJoZGlkIjoiNTU0ZmIwYTQ3NzlmZGUxZmU3Zjk0M2IyZTNmM2IxNjAiLCJ1c2VySWQiOiI3MjIwMDU1MzMifQ==</vt:lpwstr>
  </property>
</Properties>
</file>