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FE4EF">
      <w:pPr>
        <w:pStyle w:val="12"/>
        <w:spacing w:line="360" w:lineRule="auto"/>
        <w:ind w:left="153" w:right="1462"/>
        <w:rPr>
          <w:rFonts w:hint="eastAsia" w:cs="仿宋"/>
          <w:spacing w:val="-5"/>
          <w:sz w:val="24"/>
          <w:szCs w:val="24"/>
          <w:lang w:eastAsia="zh-CN"/>
        </w:rPr>
      </w:pPr>
      <w:bookmarkStart w:id="0" w:name="_bookmark14"/>
      <w:bookmarkEnd w:id="0"/>
      <w:bookmarkStart w:id="1" w:name="附件_1-3："/>
      <w:bookmarkEnd w:id="1"/>
      <w:r>
        <w:rPr>
          <w:rFonts w:hint="eastAsia" w:cs="仿宋"/>
          <w:spacing w:val="-3"/>
          <w:sz w:val="24"/>
          <w:szCs w:val="24"/>
          <w:lang w:eastAsia="zh-CN"/>
        </w:rPr>
        <w:t>附件</w:t>
      </w:r>
      <w:r>
        <w:rPr>
          <w:rFonts w:hint="eastAsia" w:cs="仿宋"/>
          <w:spacing w:val="-5"/>
          <w:sz w:val="24"/>
          <w:szCs w:val="24"/>
          <w:lang w:eastAsia="zh-CN"/>
        </w:rPr>
        <w:t>3：</w:t>
      </w:r>
    </w:p>
    <w:p w14:paraId="44BE5FF1">
      <w:pPr>
        <w:pStyle w:val="12"/>
        <w:spacing w:line="360" w:lineRule="auto"/>
        <w:ind w:left="153" w:right="1462"/>
        <w:rPr>
          <w:rFonts w:hint="eastAsia" w:cs="仿宋"/>
          <w:spacing w:val="-5"/>
          <w:sz w:val="24"/>
          <w:szCs w:val="24"/>
          <w:lang w:eastAsia="zh-CN"/>
        </w:rPr>
      </w:pPr>
    </w:p>
    <w:p w14:paraId="56738674">
      <w:pPr>
        <w:pStyle w:val="12"/>
        <w:spacing w:before="4" w:line="360" w:lineRule="auto"/>
        <w:ind w:left="142" w:right="125" w:firstLine="141"/>
        <w:jc w:val="center"/>
        <w:rPr>
          <w:rFonts w:hint="eastAsia" w:cs="仿宋"/>
          <w:b/>
          <w:bCs/>
          <w:spacing w:val="9"/>
          <w:sz w:val="24"/>
          <w:szCs w:val="24"/>
          <w:lang w:eastAsia="zh-CN"/>
        </w:rPr>
      </w:pPr>
      <w:r>
        <w:rPr>
          <w:rFonts w:hint="eastAsia" w:cs="仿宋"/>
          <w:b/>
          <w:bCs/>
          <w:spacing w:val="14"/>
          <w:sz w:val="24"/>
          <w:szCs w:val="24"/>
          <w:lang w:eastAsia="zh-CN"/>
        </w:rPr>
        <w:t>202</w:t>
      </w:r>
      <w:r>
        <w:rPr>
          <w:rFonts w:hint="eastAsia" w:cs="仿宋"/>
          <w:b/>
          <w:bCs/>
          <w:spacing w:val="14"/>
          <w:sz w:val="24"/>
          <w:szCs w:val="24"/>
          <w:lang w:val="en-US" w:eastAsia="zh-CN"/>
        </w:rPr>
        <w:t>6</w:t>
      </w:r>
      <w:r>
        <w:rPr>
          <w:rFonts w:hint="eastAsia" w:cs="仿宋"/>
          <w:b/>
          <w:bCs/>
          <w:spacing w:val="14"/>
          <w:sz w:val="24"/>
          <w:szCs w:val="24"/>
          <w:lang w:eastAsia="zh-CN"/>
        </w:rPr>
        <w:t>“理解当代中国</w:t>
      </w:r>
      <w:r>
        <w:rPr>
          <w:rFonts w:hint="eastAsia" w:cs="仿宋"/>
          <w:b/>
          <w:bCs/>
          <w:spacing w:val="-84"/>
          <w:sz w:val="24"/>
          <w:szCs w:val="24"/>
          <w:lang w:eastAsia="zh-CN"/>
        </w:rPr>
        <w:t xml:space="preserve"> </w:t>
      </w:r>
      <w:r>
        <w:rPr>
          <w:rFonts w:hint="eastAsia" w:cs="仿宋"/>
          <w:b/>
          <w:bCs/>
          <w:sz w:val="24"/>
          <w:szCs w:val="24"/>
          <w:lang w:eastAsia="zh-CN"/>
        </w:rPr>
        <w:t>”</w:t>
      </w:r>
      <w:r>
        <w:rPr>
          <w:rFonts w:hint="eastAsia" w:cs="仿宋"/>
          <w:b/>
          <w:bCs/>
          <w:spacing w:val="9"/>
          <w:sz w:val="24"/>
          <w:szCs w:val="24"/>
          <w:lang w:eastAsia="zh-CN"/>
        </w:rPr>
        <w:t>全国大学生外语能力大赛</w:t>
      </w:r>
      <w:bookmarkStart w:id="2" w:name="英语赛道笔译组方案"/>
      <w:bookmarkEnd w:id="2"/>
    </w:p>
    <w:p w14:paraId="28F9EB2E">
      <w:pPr>
        <w:pStyle w:val="12"/>
        <w:spacing w:before="4" w:line="360" w:lineRule="auto"/>
        <w:ind w:left="142" w:right="125" w:firstLine="141"/>
        <w:jc w:val="center"/>
        <w:rPr>
          <w:rFonts w:hint="eastAsia" w:cs="仿宋"/>
          <w:b/>
          <w:bCs/>
          <w:sz w:val="24"/>
          <w:szCs w:val="24"/>
          <w:lang w:eastAsia="zh-CN"/>
        </w:rPr>
      </w:pPr>
      <w:r>
        <w:rPr>
          <w:rFonts w:hint="eastAsia" w:cs="仿宋"/>
          <w:b/>
          <w:bCs/>
          <w:spacing w:val="9"/>
          <w:sz w:val="24"/>
          <w:szCs w:val="24"/>
          <w:lang w:eastAsia="zh-CN"/>
        </w:rPr>
        <w:t>福建理工大学选拔赛</w:t>
      </w:r>
      <w:r>
        <w:rPr>
          <w:rFonts w:hint="eastAsia" w:cs="仿宋"/>
          <w:b/>
          <w:bCs/>
          <w:spacing w:val="5"/>
          <w:sz w:val="24"/>
          <w:szCs w:val="24"/>
          <w:lang w:eastAsia="zh-CN"/>
        </w:rPr>
        <w:t>笔译组方案</w:t>
      </w:r>
    </w:p>
    <w:p w14:paraId="16C011CA">
      <w:pPr>
        <w:pStyle w:val="12"/>
        <w:spacing w:before="112" w:line="360" w:lineRule="auto"/>
        <w:ind w:left="136" w:right="1462"/>
        <w:rPr>
          <w:rFonts w:hint="eastAsia" w:cs="仿宋"/>
          <w:sz w:val="24"/>
          <w:szCs w:val="24"/>
          <w:lang w:eastAsia="zh-CN"/>
        </w:rPr>
      </w:pPr>
      <w:r>
        <w:rPr>
          <w:rFonts w:hint="eastAsia" w:cs="仿宋"/>
          <w:spacing w:val="5"/>
          <w:sz w:val="24"/>
          <w:szCs w:val="24"/>
          <w:lang w:eastAsia="zh-CN"/>
        </w:rPr>
        <w:t>一、大赛宗旨</w:t>
      </w:r>
    </w:p>
    <w:p w14:paraId="61773032">
      <w:pPr>
        <w:pStyle w:val="12"/>
        <w:spacing w:before="228" w:line="360" w:lineRule="auto"/>
        <w:ind w:right="110" w:firstLine="652"/>
        <w:jc w:val="both"/>
        <w:rPr>
          <w:rFonts w:hint="eastAsia" w:cs="仿宋"/>
          <w:sz w:val="24"/>
          <w:szCs w:val="24"/>
          <w:lang w:eastAsia="zh-CN"/>
        </w:rPr>
      </w:pPr>
      <w:r>
        <w:rPr>
          <w:rFonts w:hint="eastAsia" w:cs="仿宋"/>
          <w:spacing w:val="11"/>
          <w:sz w:val="24"/>
          <w:szCs w:val="24"/>
          <w:lang w:eastAsia="zh-CN"/>
        </w:rPr>
        <w:t>引导当代大学生理解当代中国，将习近平新时代中国特色社会主义思想的学习与高阶翻译能力培养有机融合，通过考查对习近平新时代中国特色社会主义思想关键术语和中华思想文化术语的翻译及阐释、对不同文体语篇特点的把握、对相关翻译策略及原则的运用，增强学生国际传播意识，增进对国际传播基本规律的理解，进一步提升外译能力，助力构建中国特色话语体系，为培养胸怀祖国、政治坚定、业务</w:t>
      </w:r>
      <w:r>
        <w:rPr>
          <w:rFonts w:hint="eastAsia" w:cs="仿宋"/>
          <w:spacing w:val="6"/>
          <w:sz w:val="24"/>
          <w:szCs w:val="24"/>
          <w:lang w:eastAsia="zh-CN"/>
        </w:rPr>
        <w:t>精湛、融通中外、甘于奉献的高端“</w:t>
      </w:r>
      <w:r>
        <w:rPr>
          <w:rFonts w:hint="eastAsia" w:cs="仿宋"/>
          <w:spacing w:val="-68"/>
          <w:sz w:val="24"/>
          <w:szCs w:val="24"/>
          <w:lang w:eastAsia="zh-CN"/>
        </w:rPr>
        <w:t xml:space="preserve"> </w:t>
      </w:r>
      <w:r>
        <w:rPr>
          <w:rFonts w:hint="eastAsia" w:cs="仿宋"/>
          <w:spacing w:val="5"/>
          <w:sz w:val="24"/>
          <w:szCs w:val="24"/>
          <w:lang w:eastAsia="zh-CN"/>
        </w:rPr>
        <w:t>中译外</w:t>
      </w:r>
      <w:r>
        <w:rPr>
          <w:rFonts w:hint="eastAsia" w:cs="仿宋"/>
          <w:spacing w:val="-97"/>
          <w:sz w:val="24"/>
          <w:szCs w:val="24"/>
          <w:lang w:eastAsia="zh-CN"/>
        </w:rPr>
        <w:t xml:space="preserve"> </w:t>
      </w:r>
      <w:r>
        <w:rPr>
          <w:rFonts w:hint="eastAsia" w:cs="仿宋"/>
          <w:spacing w:val="6"/>
          <w:sz w:val="24"/>
          <w:szCs w:val="24"/>
          <w:lang w:eastAsia="zh-CN"/>
        </w:rPr>
        <w:t>”翻译人才作出</w:t>
      </w:r>
      <w:r>
        <w:rPr>
          <w:rFonts w:hint="eastAsia" w:cs="仿宋"/>
          <w:spacing w:val="-153"/>
          <w:sz w:val="24"/>
          <w:szCs w:val="24"/>
          <w:lang w:eastAsia="zh-CN"/>
        </w:rPr>
        <w:t xml:space="preserve"> </w:t>
      </w:r>
      <w:r>
        <w:rPr>
          <w:rFonts w:hint="eastAsia" w:cs="仿宋"/>
          <w:spacing w:val="-3"/>
          <w:sz w:val="24"/>
          <w:szCs w:val="24"/>
          <w:lang w:eastAsia="zh-CN"/>
        </w:rPr>
        <w:t>贡献。</w:t>
      </w:r>
    </w:p>
    <w:p w14:paraId="3480E8BF">
      <w:pPr>
        <w:pStyle w:val="12"/>
        <w:spacing w:before="51" w:line="360" w:lineRule="auto"/>
        <w:ind w:left="136" w:right="1462"/>
        <w:rPr>
          <w:rFonts w:hint="eastAsia" w:cs="仿宋"/>
          <w:sz w:val="24"/>
          <w:szCs w:val="24"/>
          <w:lang w:eastAsia="zh-CN"/>
        </w:rPr>
      </w:pPr>
      <w:r>
        <w:rPr>
          <w:rFonts w:hint="eastAsia" w:cs="仿宋"/>
          <w:spacing w:val="5"/>
          <w:sz w:val="24"/>
          <w:szCs w:val="24"/>
          <w:lang w:eastAsia="zh-CN"/>
        </w:rPr>
        <w:t>二、大赛内容</w:t>
      </w:r>
    </w:p>
    <w:p w14:paraId="2B592E5B">
      <w:pPr>
        <w:pStyle w:val="12"/>
        <w:spacing w:before="58" w:line="360" w:lineRule="auto"/>
        <w:ind w:left="136" w:right="87"/>
        <w:rPr>
          <w:rFonts w:hint="eastAsia" w:cs="仿宋"/>
          <w:spacing w:val="4"/>
          <w:sz w:val="24"/>
          <w:szCs w:val="24"/>
          <w:lang w:eastAsia="zh-CN"/>
        </w:rPr>
      </w:pPr>
      <w:r>
        <w:rPr>
          <w:rFonts w:hint="eastAsia" w:cs="仿宋"/>
          <w:spacing w:val="4"/>
          <w:sz w:val="24"/>
          <w:szCs w:val="24"/>
          <w:lang w:eastAsia="zh-CN"/>
        </w:rPr>
        <w:t>笔译赛题考查汉英互译能力，涉及经济建设、政治建设、社会建设、文化建设、生态文明建设等领域的重要话题，涵盖习近平新时代中国特色社会主义思想核心内容，包括语言基本能力考查、习近平新时代中国特色社会主义思想关键术语和中华思想文化术语的翻译及阐释、中国时政文献语篇翻译、文学作品选篇翻译、译后编辑、新闻编译等。部分赛题素材选自《习近平谈治国理政》第一卷、第二卷、第三卷、第四卷、</w:t>
      </w:r>
      <w:r>
        <w:rPr>
          <w:rFonts w:hint="eastAsia" w:cs="仿宋"/>
          <w:spacing w:val="4"/>
          <w:sz w:val="24"/>
          <w:szCs w:val="24"/>
          <w:lang w:val="en-US" w:eastAsia="zh-CN"/>
        </w:rPr>
        <w:t>第五卷</w:t>
      </w:r>
      <w:r>
        <w:rPr>
          <w:rFonts w:hint="eastAsia" w:cs="仿宋"/>
          <w:spacing w:val="4"/>
          <w:sz w:val="24"/>
          <w:szCs w:val="24"/>
          <w:lang w:eastAsia="zh-CN"/>
        </w:rPr>
        <w:t>，《习近平总书记教育重要论述讲义》、《教育强国建设规划纲要（2024—2035年）》、高等学校《理解当代中国》系列教材和《理解当代中国</w:t>
      </w:r>
      <w:r>
        <w:rPr>
          <w:rFonts w:hint="eastAsia" w:cs="仿宋"/>
          <w:spacing w:val="4"/>
          <w:sz w:val="24"/>
          <w:szCs w:val="24"/>
          <w:lang w:val="en-US" w:eastAsia="zh-CN"/>
        </w:rPr>
        <w:t xml:space="preserve"> </w:t>
      </w:r>
      <w:r>
        <w:rPr>
          <w:rFonts w:hint="eastAsia" w:cs="仿宋"/>
          <w:spacing w:val="4"/>
          <w:sz w:val="24"/>
          <w:szCs w:val="24"/>
          <w:lang w:eastAsia="zh-CN"/>
        </w:rPr>
        <w:t>核心术语学习手册》（汉英对照）等。</w:t>
      </w:r>
    </w:p>
    <w:p w14:paraId="1E8C14E2">
      <w:pPr>
        <w:pStyle w:val="12"/>
        <w:spacing w:before="58" w:line="360" w:lineRule="auto"/>
        <w:ind w:left="136" w:right="87"/>
        <w:rPr>
          <w:rFonts w:hint="eastAsia" w:cs="仿宋"/>
          <w:sz w:val="24"/>
          <w:szCs w:val="24"/>
          <w:lang w:eastAsia="zh-CN"/>
        </w:rPr>
      </w:pPr>
      <w:r>
        <w:rPr>
          <w:rFonts w:hint="eastAsia" w:cs="仿宋"/>
          <w:spacing w:val="4"/>
          <w:sz w:val="24"/>
          <w:szCs w:val="24"/>
          <w:lang w:eastAsia="zh-CN"/>
        </w:rPr>
        <w:t>三、大赛安排</w:t>
      </w:r>
    </w:p>
    <w:p w14:paraId="7F09D43A">
      <w:pPr>
        <w:pStyle w:val="12"/>
        <w:spacing w:before="223" w:line="360" w:lineRule="auto"/>
        <w:ind w:left="191" w:right="87"/>
        <w:rPr>
          <w:rFonts w:hint="eastAsia" w:cs="仿宋"/>
          <w:sz w:val="24"/>
          <w:szCs w:val="24"/>
          <w:lang w:eastAsia="zh-CN"/>
        </w:rPr>
      </w:pPr>
      <w:r>
        <w:rPr>
          <w:rFonts w:hint="eastAsia" w:cs="仿宋"/>
          <w:spacing w:val="-7"/>
          <w:sz w:val="24"/>
          <w:szCs w:val="24"/>
          <w:lang w:eastAsia="zh-CN"/>
        </w:rPr>
        <w:t>(一)校赛</w:t>
      </w:r>
    </w:p>
    <w:p w14:paraId="371FA2C4">
      <w:pPr>
        <w:pStyle w:val="12"/>
        <w:spacing w:line="360" w:lineRule="auto"/>
        <w:ind w:left="0"/>
        <w:jc w:val="both"/>
        <w:rPr>
          <w:rFonts w:hint="eastAsia" w:cs="仿宋"/>
          <w:sz w:val="24"/>
          <w:szCs w:val="24"/>
          <w:lang w:eastAsia="zh-CN"/>
        </w:rPr>
      </w:pPr>
      <w:r>
        <w:rPr>
          <w:rFonts w:hint="eastAsia" w:cs="仿宋"/>
          <w:spacing w:val="4"/>
          <w:sz w:val="24"/>
          <w:szCs w:val="24"/>
          <w:lang w:eastAsia="zh-CN"/>
        </w:rPr>
        <w:t>参赛注册：在</w:t>
      </w:r>
      <w:r>
        <w:rPr>
          <w:rFonts w:hint="eastAsia" w:cs="仿宋"/>
          <w:b/>
          <w:bCs/>
          <w:spacing w:val="4"/>
          <w:sz w:val="24"/>
          <w:szCs w:val="24"/>
          <w:lang w:eastAsia="zh-CN"/>
        </w:rPr>
        <w:t>提交参赛报名表</w:t>
      </w:r>
      <w:r>
        <w:rPr>
          <w:rFonts w:hint="eastAsia" w:ascii="仿宋" w:hAnsi="仿宋" w:eastAsia="仿宋" w:cs="仿宋"/>
          <w:spacing w:val="13"/>
          <w:kern w:val="0"/>
          <w:sz w:val="24"/>
          <w:szCs w:val="24"/>
          <w:lang w:eastAsia="zh-CN"/>
        </w:rPr>
        <w:t>、</w:t>
      </w:r>
      <w:r>
        <w:rPr>
          <w:rFonts w:hint="eastAsia" w:ascii="仿宋" w:hAnsi="仿宋" w:eastAsia="仿宋" w:cs="仿宋"/>
          <w:spacing w:val="13"/>
          <w:kern w:val="0"/>
          <w:sz w:val="24"/>
          <w:szCs w:val="24"/>
          <w:lang w:val="en-US" w:eastAsia="zh-CN"/>
        </w:rPr>
        <w:t>通过审核</w:t>
      </w:r>
      <w:r>
        <w:rPr>
          <w:rFonts w:hint="eastAsia" w:cs="仿宋"/>
          <w:spacing w:val="4"/>
          <w:sz w:val="24"/>
          <w:szCs w:val="24"/>
          <w:lang w:eastAsia="zh-CN"/>
        </w:rPr>
        <w:t>的前提下，大赛官网于</w:t>
      </w:r>
      <w:r>
        <w:rPr>
          <w:rFonts w:hint="eastAsia" w:cs="仿宋"/>
          <w:spacing w:val="-41"/>
          <w:sz w:val="24"/>
          <w:szCs w:val="24"/>
          <w:lang w:eastAsia="zh-CN"/>
        </w:rPr>
        <w:t xml:space="preserve"> </w:t>
      </w:r>
      <w:r>
        <w:rPr>
          <w:rFonts w:hint="eastAsia" w:cs="仿宋"/>
          <w:sz w:val="24"/>
          <w:szCs w:val="24"/>
          <w:lang w:eastAsia="zh-CN"/>
        </w:rPr>
        <w:t>9月2</w:t>
      </w:r>
      <w:r>
        <w:rPr>
          <w:rFonts w:hint="eastAsia" w:cs="仿宋"/>
          <w:sz w:val="24"/>
          <w:szCs w:val="24"/>
          <w:lang w:val="en-US" w:eastAsia="zh-CN"/>
        </w:rPr>
        <w:t>8</w:t>
      </w:r>
      <w:bookmarkStart w:id="5" w:name="_GoBack"/>
      <w:bookmarkEnd w:id="5"/>
      <w:r>
        <w:rPr>
          <w:rFonts w:hint="eastAsia" w:cs="仿宋"/>
          <w:spacing w:val="4"/>
          <w:sz w:val="24"/>
          <w:szCs w:val="24"/>
          <w:lang w:eastAsia="zh-CN"/>
        </w:rPr>
        <w:t>日起开放参赛报名页</w:t>
      </w:r>
      <w:r>
        <w:rPr>
          <w:rFonts w:hint="eastAsia" w:cs="仿宋"/>
          <w:spacing w:val="13"/>
          <w:sz w:val="24"/>
          <w:szCs w:val="24"/>
          <w:lang w:eastAsia="zh-CN"/>
        </w:rPr>
        <w:t>面。参赛选手须在大赛官网的“选手报名/参赛</w:t>
      </w:r>
      <w:r>
        <w:rPr>
          <w:rFonts w:hint="eastAsia" w:cs="仿宋"/>
          <w:spacing w:val="-81"/>
          <w:sz w:val="24"/>
          <w:szCs w:val="24"/>
          <w:lang w:eastAsia="zh-CN"/>
        </w:rPr>
        <w:t xml:space="preserve"> </w:t>
      </w:r>
      <w:r>
        <w:rPr>
          <w:rFonts w:hint="eastAsia" w:cs="仿宋"/>
          <w:sz w:val="24"/>
          <w:szCs w:val="24"/>
          <w:lang w:eastAsia="zh-CN"/>
        </w:rPr>
        <w:t>”</w:t>
      </w:r>
      <w:r>
        <w:rPr>
          <w:rFonts w:hint="eastAsia" w:cs="仿宋"/>
          <w:spacing w:val="2"/>
          <w:sz w:val="24"/>
          <w:szCs w:val="24"/>
          <w:lang w:eastAsia="zh-CN"/>
        </w:rPr>
        <w:t>页面注册报名。</w:t>
      </w:r>
    </w:p>
    <w:p w14:paraId="53B4100B">
      <w:pPr>
        <w:pStyle w:val="12"/>
        <w:spacing w:before="74" w:line="360" w:lineRule="auto"/>
        <w:ind w:left="0" w:right="-58"/>
        <w:jc w:val="both"/>
        <w:rPr>
          <w:rFonts w:hint="eastAsia" w:cs="仿宋"/>
          <w:sz w:val="24"/>
          <w:szCs w:val="24"/>
          <w:lang w:eastAsia="zh-CN"/>
        </w:rPr>
      </w:pPr>
      <w:r>
        <w:rPr>
          <w:rFonts w:hint="eastAsia" w:cs="仿宋"/>
          <w:spacing w:val="11"/>
          <w:sz w:val="24"/>
          <w:szCs w:val="24"/>
          <w:lang w:eastAsia="zh-CN"/>
        </w:rPr>
        <w:t>组织方式：学生参加</w:t>
      </w:r>
      <w:r>
        <w:rPr>
          <w:rFonts w:hint="eastAsia" w:cs="仿宋"/>
          <w:spacing w:val="10"/>
          <w:sz w:val="24"/>
          <w:szCs w:val="24"/>
          <w:lang w:eastAsia="zh-CN"/>
        </w:rPr>
        <w:t>大赛组委会举办的全国统一线上初赛。</w:t>
      </w:r>
    </w:p>
    <w:p w14:paraId="3DD863D7">
      <w:pPr>
        <w:pStyle w:val="12"/>
        <w:spacing w:before="74" w:line="360" w:lineRule="auto"/>
        <w:ind w:left="0" w:right="87"/>
        <w:rPr>
          <w:rFonts w:hint="eastAsia" w:cs="仿宋"/>
          <w:sz w:val="24"/>
          <w:szCs w:val="24"/>
          <w:lang w:eastAsia="zh-CN"/>
        </w:rPr>
      </w:pPr>
      <w:r>
        <w:rPr>
          <w:rFonts w:hint="eastAsia" w:cs="仿宋"/>
          <w:spacing w:val="4"/>
          <w:sz w:val="24"/>
          <w:szCs w:val="24"/>
          <w:lang w:eastAsia="zh-CN"/>
        </w:rPr>
        <w:t>比赛时间：10月1</w:t>
      </w:r>
      <w:r>
        <w:rPr>
          <w:rFonts w:hint="eastAsia" w:cs="仿宋"/>
          <w:spacing w:val="4"/>
          <w:sz w:val="24"/>
          <w:szCs w:val="24"/>
          <w:lang w:val="en-US" w:eastAsia="zh-CN"/>
        </w:rPr>
        <w:t>1</w:t>
      </w:r>
      <w:r>
        <w:rPr>
          <w:rFonts w:hint="eastAsia" w:cs="仿宋"/>
          <w:spacing w:val="4"/>
          <w:sz w:val="24"/>
          <w:szCs w:val="24"/>
          <w:lang w:eastAsia="zh-CN"/>
        </w:rPr>
        <w:t>日16:00—18:00</w:t>
      </w:r>
    </w:p>
    <w:p w14:paraId="317B13E3">
      <w:pPr>
        <w:pStyle w:val="12"/>
        <w:spacing w:before="69" w:line="360" w:lineRule="auto"/>
        <w:ind w:left="0" w:right="343"/>
        <w:jc w:val="both"/>
        <w:rPr>
          <w:rFonts w:hint="eastAsia" w:cs="仿宋"/>
          <w:sz w:val="24"/>
          <w:szCs w:val="24"/>
          <w:lang w:eastAsia="zh-CN"/>
        </w:rPr>
      </w:pPr>
      <w:r>
        <w:rPr>
          <w:rFonts w:hint="eastAsia" w:cs="仿宋"/>
          <w:spacing w:val="9"/>
          <w:sz w:val="24"/>
          <w:szCs w:val="24"/>
          <w:lang w:eastAsia="zh-CN"/>
        </w:rPr>
        <w:t>比赛题目：全国统一线上初赛赛题由大赛组委会提供，包括</w:t>
      </w:r>
      <w:r>
        <w:rPr>
          <w:rFonts w:hint="eastAsia" w:cs="仿宋"/>
          <w:spacing w:val="10"/>
          <w:sz w:val="24"/>
          <w:szCs w:val="24"/>
          <w:lang w:eastAsia="zh-CN"/>
        </w:rPr>
        <w:t xml:space="preserve">客观题若干道、英译汉（非文学翻译） </w:t>
      </w:r>
      <w:r>
        <w:rPr>
          <w:rFonts w:hint="eastAsia" w:cs="仿宋"/>
          <w:sz w:val="24"/>
          <w:szCs w:val="24"/>
          <w:lang w:eastAsia="zh-CN"/>
        </w:rPr>
        <w:t>1</w:t>
      </w:r>
      <w:r>
        <w:rPr>
          <w:rFonts w:hint="eastAsia" w:cs="仿宋"/>
          <w:spacing w:val="-83"/>
          <w:sz w:val="24"/>
          <w:szCs w:val="24"/>
          <w:lang w:eastAsia="zh-CN"/>
        </w:rPr>
        <w:t xml:space="preserve"> </w:t>
      </w:r>
      <w:r>
        <w:rPr>
          <w:rFonts w:hint="eastAsia" w:cs="仿宋"/>
          <w:spacing w:val="7"/>
          <w:sz w:val="24"/>
          <w:szCs w:val="24"/>
          <w:lang w:eastAsia="zh-CN"/>
        </w:rPr>
        <w:t>篇、汉</w:t>
      </w:r>
      <w:r>
        <w:rPr>
          <w:rFonts w:hint="eastAsia" w:cs="仿宋"/>
          <w:spacing w:val="4"/>
          <w:sz w:val="24"/>
          <w:szCs w:val="24"/>
          <w:lang w:eastAsia="zh-CN"/>
        </w:rPr>
        <w:t>译英（非文学翻译）1 篇，赛题构成见表</w:t>
      </w:r>
      <w:r>
        <w:rPr>
          <w:rFonts w:hint="eastAsia" w:cs="仿宋"/>
          <w:spacing w:val="-65"/>
          <w:sz w:val="24"/>
          <w:szCs w:val="24"/>
          <w:lang w:eastAsia="zh-CN"/>
        </w:rPr>
        <w:t xml:space="preserve"> </w:t>
      </w:r>
      <w:r>
        <w:rPr>
          <w:rFonts w:hint="eastAsia" w:cs="仿宋"/>
          <w:sz w:val="24"/>
          <w:szCs w:val="24"/>
          <w:lang w:eastAsia="zh-CN"/>
        </w:rPr>
        <w:t>1。</w:t>
      </w:r>
    </w:p>
    <w:p w14:paraId="59B6AAB4">
      <w:pPr>
        <w:pStyle w:val="12"/>
        <w:spacing w:before="69" w:line="360" w:lineRule="auto"/>
        <w:ind w:left="1723" w:right="343" w:hanging="1536"/>
        <w:jc w:val="center"/>
        <w:rPr>
          <w:rFonts w:hint="eastAsia" w:cs="仿宋"/>
          <w:spacing w:val="-5"/>
          <w:sz w:val="24"/>
          <w:szCs w:val="24"/>
          <w:lang w:eastAsia="zh-CN"/>
        </w:rPr>
      </w:pPr>
      <w:r>
        <w:rPr>
          <w:rFonts w:hint="eastAsia" w:cs="仿宋"/>
          <w:sz w:val="24"/>
          <w:szCs w:val="24"/>
          <w:lang w:eastAsia="zh-CN"/>
        </w:rPr>
        <w:t>表1</w:t>
      </w:r>
      <w:r>
        <w:rPr>
          <w:rFonts w:hint="eastAsia" w:cs="仿宋"/>
          <w:spacing w:val="-5"/>
          <w:sz w:val="24"/>
          <w:szCs w:val="24"/>
          <w:lang w:eastAsia="zh-CN"/>
        </w:rPr>
        <w:t>：笔译组线上初赛赛题构成</w:t>
      </w:r>
    </w:p>
    <w:p w14:paraId="4FBFA0EB">
      <w:pPr>
        <w:pStyle w:val="12"/>
        <w:spacing w:before="69" w:line="360" w:lineRule="auto"/>
        <w:ind w:left="1723" w:right="343" w:hanging="1536"/>
        <w:jc w:val="center"/>
        <w:rPr>
          <w:rFonts w:hint="eastAsia" w:cs="仿宋"/>
          <w:sz w:val="24"/>
          <w:szCs w:val="24"/>
          <w:lang w:eastAsia="zh-CN"/>
        </w:rPr>
      </w:pPr>
      <w:r>
        <w:drawing>
          <wp:inline distT="0" distB="0" distL="114300" distR="114300">
            <wp:extent cx="5267960" cy="3389630"/>
            <wp:effectExtent l="0" t="0" r="889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7960" cy="3389630"/>
                    </a:xfrm>
                    <a:prstGeom prst="rect">
                      <a:avLst/>
                    </a:prstGeom>
                    <a:noFill/>
                    <a:ln>
                      <a:noFill/>
                    </a:ln>
                  </pic:spPr>
                </pic:pic>
              </a:graphicData>
            </a:graphic>
          </wp:inline>
        </w:drawing>
      </w:r>
    </w:p>
    <w:p w14:paraId="058D35EF">
      <w:pPr>
        <w:pStyle w:val="12"/>
        <w:spacing w:line="360" w:lineRule="auto"/>
        <w:ind w:left="0"/>
        <w:jc w:val="both"/>
        <w:rPr>
          <w:rFonts w:hint="eastAsia" w:cs="仿宋"/>
          <w:spacing w:val="-3"/>
          <w:sz w:val="24"/>
          <w:szCs w:val="24"/>
          <w:lang w:eastAsia="zh-CN"/>
        </w:rPr>
      </w:pPr>
      <w:r>
        <w:rPr>
          <w:rFonts w:hint="eastAsia" w:cs="仿宋"/>
          <w:spacing w:val="11"/>
          <w:sz w:val="24"/>
          <w:szCs w:val="24"/>
          <w:lang w:eastAsia="zh-CN"/>
        </w:rPr>
        <w:t>选手奖项：设置金、银、铜奖，校赛获奖比例参照大赛官</w:t>
      </w:r>
      <w:r>
        <w:rPr>
          <w:rFonts w:hint="eastAsia" w:cs="仿宋"/>
          <w:sz w:val="24"/>
          <w:szCs w:val="24"/>
          <w:lang w:eastAsia="zh-CN"/>
        </w:rPr>
        <w:t>网规定的比例执行。</w:t>
      </w:r>
      <w:bookmarkStart w:id="3" w:name="_bookmark15"/>
      <w:bookmarkEnd w:id="3"/>
      <w:bookmarkStart w:id="4" w:name="附件_1-4："/>
      <w:bookmarkEnd w:id="4"/>
    </w:p>
    <w:p w14:paraId="155ACE25">
      <w:pPr>
        <w:numPr>
          <w:ilvl w:val="0"/>
          <w:numId w:val="1"/>
        </w:numPr>
        <w:ind w:left="175" w:hanging="8"/>
        <w:rPr>
          <w:rFonts w:hint="eastAsia" w:ascii="仿宋" w:hAnsi="仿宋" w:eastAsia="仿宋" w:cs="仿宋"/>
          <w:spacing w:val="-3"/>
          <w:sz w:val="24"/>
          <w:szCs w:val="24"/>
        </w:rPr>
      </w:pPr>
      <w:r>
        <w:rPr>
          <w:rFonts w:hint="eastAsia" w:ascii="仿宋" w:hAnsi="仿宋" w:eastAsia="仿宋" w:cs="仿宋"/>
          <w:spacing w:val="-3"/>
          <w:sz w:val="24"/>
          <w:szCs w:val="24"/>
        </w:rPr>
        <w:t>省赛</w:t>
      </w:r>
    </w:p>
    <w:p w14:paraId="2BD78557">
      <w:pPr>
        <w:keepNext w:val="0"/>
        <w:keepLines w:val="0"/>
        <w:pageBreakBefore w:val="0"/>
        <w:widowControl w:val="0"/>
        <w:kinsoku/>
        <w:wordWrap/>
        <w:overflowPunct/>
        <w:topLinePunct w:val="0"/>
        <w:autoSpaceDE/>
        <w:autoSpaceDN/>
        <w:bidi w:val="0"/>
        <w:adjustRightInd/>
        <w:snapToGrid/>
        <w:spacing w:line="360" w:lineRule="auto"/>
        <w:ind w:left="164"/>
        <w:textAlignment w:val="auto"/>
        <w:rPr>
          <w:rFonts w:hint="eastAsia" w:ascii="仿宋" w:hAnsi="仿宋" w:eastAsia="仿宋" w:cs="仿宋"/>
          <w:spacing w:val="-3"/>
          <w:sz w:val="24"/>
          <w:szCs w:val="24"/>
        </w:rPr>
      </w:pPr>
      <w:r>
        <w:rPr>
          <w:rFonts w:hint="eastAsia" w:ascii="仿宋" w:hAnsi="仿宋" w:eastAsia="仿宋" w:cs="仿宋"/>
          <w:spacing w:val="-3"/>
          <w:sz w:val="24"/>
          <w:szCs w:val="24"/>
        </w:rPr>
        <w:t>省赛将于1</w:t>
      </w:r>
      <w:r>
        <w:rPr>
          <w:rFonts w:hint="eastAsia" w:ascii="仿宋" w:hAnsi="仿宋" w:eastAsia="仿宋" w:cs="仿宋"/>
          <w:spacing w:val="-3"/>
          <w:sz w:val="24"/>
          <w:szCs w:val="24"/>
          <w:lang w:val="en-US" w:eastAsia="zh-CN"/>
        </w:rPr>
        <w:t>0</w:t>
      </w:r>
      <w:r>
        <w:rPr>
          <w:rFonts w:hint="eastAsia" w:ascii="仿宋" w:hAnsi="仿宋" w:eastAsia="仿宋" w:cs="仿宋"/>
          <w:spacing w:val="-3"/>
          <w:sz w:val="24"/>
          <w:szCs w:val="24"/>
        </w:rPr>
        <w:t>月</w:t>
      </w:r>
      <w:r>
        <w:rPr>
          <w:rFonts w:hint="eastAsia" w:ascii="仿宋" w:hAnsi="仿宋" w:eastAsia="仿宋" w:cs="仿宋"/>
          <w:spacing w:val="-3"/>
          <w:sz w:val="24"/>
          <w:szCs w:val="24"/>
          <w:lang w:val="en-US" w:eastAsia="zh-CN"/>
        </w:rPr>
        <w:t>3</w:t>
      </w:r>
      <w:r>
        <w:rPr>
          <w:rFonts w:hint="eastAsia" w:ascii="仿宋" w:hAnsi="仿宋" w:eastAsia="仿宋" w:cs="仿宋"/>
          <w:spacing w:val="-3"/>
          <w:sz w:val="24"/>
          <w:szCs w:val="24"/>
        </w:rPr>
        <w:t>1日</w:t>
      </w:r>
      <w:r>
        <w:rPr>
          <w:rFonts w:hint="eastAsia" w:ascii="仿宋" w:hAnsi="仿宋" w:eastAsia="仿宋" w:cs="仿宋"/>
          <w:spacing w:val="-3"/>
          <w:sz w:val="24"/>
          <w:szCs w:val="24"/>
          <w:lang w:val="en-US" w:eastAsia="zh-CN"/>
        </w:rPr>
        <w:t>在</w:t>
      </w:r>
      <w:r>
        <w:rPr>
          <w:rFonts w:hint="eastAsia" w:ascii="仿宋" w:hAnsi="仿宋" w:eastAsia="仿宋" w:cs="仿宋"/>
          <w:spacing w:val="-3"/>
          <w:sz w:val="24"/>
          <w:szCs w:val="24"/>
        </w:rPr>
        <w:t>福建师范大学举办。</w:t>
      </w:r>
    </w:p>
    <w:p w14:paraId="57A31D62">
      <w:pPr>
        <w:keepNext w:val="0"/>
        <w:keepLines w:val="0"/>
        <w:pageBreakBefore w:val="0"/>
        <w:widowControl w:val="0"/>
        <w:kinsoku/>
        <w:wordWrap/>
        <w:overflowPunct/>
        <w:topLinePunct w:val="0"/>
        <w:autoSpaceDE/>
        <w:autoSpaceDN/>
        <w:bidi w:val="0"/>
        <w:adjustRightInd/>
        <w:snapToGrid/>
        <w:spacing w:line="360" w:lineRule="auto"/>
        <w:ind w:left="164"/>
        <w:textAlignment w:val="auto"/>
        <w:rPr>
          <w:rFonts w:hint="eastAsia" w:ascii="仿宋" w:hAnsi="仿宋" w:eastAsia="仿宋" w:cs="仿宋"/>
          <w:spacing w:val="-3"/>
          <w:sz w:val="24"/>
          <w:szCs w:val="24"/>
        </w:rPr>
      </w:pPr>
      <w:r>
        <w:rPr>
          <w:rFonts w:hint="eastAsia" w:ascii="仿宋" w:hAnsi="仿宋" w:eastAsia="仿宋" w:cs="仿宋"/>
          <w:spacing w:val="-3"/>
          <w:sz w:val="24"/>
          <w:szCs w:val="24"/>
        </w:rPr>
        <w:t>比赛题目：习近平新时代中国特色社会主义思想关键术语和中华思想文化术语翻译及阐释若干道、英译汉（非文学翻译）1篇、汉译英（非文学翻译）1篇。</w:t>
      </w:r>
    </w:p>
    <w:p w14:paraId="27AB1E6E">
      <w:pPr>
        <w:pStyle w:val="12"/>
        <w:spacing w:before="124" w:line="360" w:lineRule="auto"/>
        <w:ind w:left="238" w:right="108"/>
        <w:rPr>
          <w:rFonts w:hint="eastAsia" w:cs="仿宋"/>
          <w:sz w:val="24"/>
          <w:szCs w:val="24"/>
          <w:lang w:eastAsia="zh-CN"/>
        </w:rPr>
      </w:pPr>
      <w:r>
        <w:rPr>
          <w:rFonts w:hint="eastAsia" w:cs="仿宋"/>
          <w:spacing w:val="4"/>
          <w:sz w:val="24"/>
          <w:szCs w:val="24"/>
          <w:lang w:eastAsia="zh-CN"/>
        </w:rPr>
        <w:t>四、奖项设置</w:t>
      </w:r>
    </w:p>
    <w:p w14:paraId="6ABB3607">
      <w:pPr>
        <w:pStyle w:val="12"/>
        <w:spacing w:line="360" w:lineRule="auto"/>
        <w:ind w:left="255" w:right="108"/>
        <w:rPr>
          <w:rFonts w:hint="eastAsia" w:cs="仿宋"/>
          <w:spacing w:val="11"/>
          <w:sz w:val="24"/>
          <w:szCs w:val="24"/>
          <w:lang w:eastAsia="zh-CN"/>
        </w:rPr>
      </w:pPr>
      <w:r>
        <w:rPr>
          <w:rFonts w:hint="eastAsia" w:cs="仿宋"/>
          <w:spacing w:val="11"/>
          <w:sz w:val="24"/>
          <w:szCs w:val="24"/>
          <w:lang w:eastAsia="zh-CN"/>
        </w:rPr>
        <w:t>校赛参照大赛官网规定比例设置一、二、三等奖，省赛选手奖项设置</w:t>
      </w:r>
      <w:r>
        <w:rPr>
          <w:rFonts w:hint="eastAsia" w:cs="仿宋"/>
          <w:spacing w:val="11"/>
          <w:sz w:val="24"/>
          <w:szCs w:val="24"/>
          <w:lang w:val="en-US" w:eastAsia="zh-CN"/>
        </w:rPr>
        <w:t>比例为</w:t>
      </w:r>
      <w:r>
        <w:rPr>
          <w:rFonts w:hint="eastAsia" w:cs="仿宋"/>
          <w:spacing w:val="11"/>
          <w:sz w:val="24"/>
          <w:szCs w:val="24"/>
          <w:lang w:eastAsia="zh-CN"/>
        </w:rPr>
        <w:t>金奖5%、银奖15%、铜奖25%、优胜奖25%，</w:t>
      </w:r>
      <w:r>
        <w:rPr>
          <w:rFonts w:hint="eastAsia" w:cs="仿宋"/>
          <w:spacing w:val="11"/>
          <w:sz w:val="24"/>
          <w:szCs w:val="24"/>
          <w:lang w:val="en-US" w:eastAsia="zh-CN"/>
        </w:rPr>
        <w:t>省赛</w:t>
      </w:r>
      <w:r>
        <w:rPr>
          <w:rFonts w:hint="eastAsia" w:cs="仿宋"/>
          <w:spacing w:val="11"/>
          <w:sz w:val="24"/>
          <w:szCs w:val="24"/>
          <w:lang w:eastAsia="zh-CN"/>
        </w:rPr>
        <w:t>成绩高低顺位前8的选手晋级国赛。</w:t>
      </w:r>
    </w:p>
    <w:p w14:paraId="3026AAB8">
      <w:pPr>
        <w:spacing w:before="156" w:beforeLines="50"/>
        <w:rPr>
          <w:rFonts w:hint="eastAsia" w:cs="仿宋"/>
          <w:sz w:val="24"/>
          <w:szCs w:val="24"/>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58C4C">
    <w:pPr>
      <w:spacing w:line="14" w:lineRule="auto"/>
      <w:rPr>
        <w:rFonts w:hint="eastAsia"/>
        <w:sz w:val="20"/>
        <w:szCs w:val="20"/>
      </w:rPr>
    </w:pPr>
    <w:r>
      <w:rPr>
        <w:rFonts w:hint="eastAsia"/>
        <w:sz w:val="22"/>
      </w:rPr>
      <mc:AlternateContent>
        <mc:Choice Requires="wps">
          <w:drawing>
            <wp:anchor distT="0" distB="0" distL="114300" distR="114300" simplePos="0" relativeHeight="251659264" behindDoc="1" locked="0" layoutInCell="1" allowOverlap="1">
              <wp:simplePos x="0" y="0"/>
              <wp:positionH relativeFrom="page">
                <wp:posOffset>3575685</wp:posOffset>
              </wp:positionH>
              <wp:positionV relativeFrom="page">
                <wp:posOffset>9979660</wp:posOffset>
              </wp:positionV>
              <wp:extent cx="499745" cy="141605"/>
              <wp:effectExtent l="3810" t="0" r="1270" b="3810"/>
              <wp:wrapNone/>
              <wp:docPr id="494795898" name="文本框 1"/>
              <wp:cNvGraphicFramePr/>
              <a:graphic xmlns:a="http://schemas.openxmlformats.org/drawingml/2006/main">
                <a:graphicData uri="http://schemas.microsoft.com/office/word/2010/wordprocessingShape">
                  <wps:wsp>
                    <wps:cNvSpPr txBox="1">
                      <a:spLocks noChangeArrowheads="1"/>
                    </wps:cNvSpPr>
                    <wps:spPr bwMode="auto">
                      <a:xfrm>
                        <a:off x="0" y="0"/>
                        <a:ext cx="499745" cy="141605"/>
                      </a:xfrm>
                      <a:prstGeom prst="rect">
                        <a:avLst/>
                      </a:prstGeom>
                      <a:noFill/>
                      <a:ln>
                        <a:noFill/>
                      </a:ln>
                    </wps:spPr>
                    <wps:txbx>
                      <w:txbxContent>
                        <w:p w14:paraId="29BABA53">
                          <w:pPr>
                            <w:spacing w:line="206" w:lineRule="exact"/>
                            <w:ind w:left="215"/>
                            <w:rPr>
                              <w:rFonts w:ascii="Arial" w:hAnsi="Arial" w:eastAsia="Arial" w:cs="Arial"/>
                              <w:sz w:val="18"/>
                              <w:szCs w:val="18"/>
                            </w:rPr>
                          </w:pPr>
                        </w:p>
                      </w:txbxContent>
                    </wps:txbx>
                    <wps:bodyPr rot="0" vert="horz" wrap="square" lIns="0" tIns="0" rIns="0" bIns="0" anchor="t" anchorCtr="0" upright="1">
                      <a:noAutofit/>
                    </wps:bodyPr>
                  </wps:wsp>
                </a:graphicData>
              </a:graphic>
            </wp:anchor>
          </w:drawing>
        </mc:Choice>
        <mc:Fallback>
          <w:pict>
            <v:shape id="文本框 1" o:spid="_x0000_s1026" o:spt="202" type="#_x0000_t202" style="position:absolute;left:0pt;margin-left:281.55pt;margin-top:785.8pt;height:11.15pt;width:39.35pt;mso-position-horizontal-relative:page;mso-position-vertical-relative:page;z-index:-251657216;mso-width-relative:page;mso-height-relative:page;" filled="f" stroked="f" coordsize="21600,21600" o:gfxdata="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1FlYj2gAAAA0BAAAPAAAA&#10;AAAAAAEAIAAAACIAAABkcnMvZG93bnJldi54bWxQSwECFAAUAAAACACHTuJAHCCOSBMCAAAMBAAA&#10;DgAAAAAAAAABACAAAAApAQAAZHJzL2Uyb0RvYy54bWxQSwUGAAAAAAYABgBZAQAArgUAAAAA&#10;">
              <v:fill on="f" focussize="0,0"/>
              <v:stroke on="f"/>
              <v:imagedata o:title=""/>
              <o:lock v:ext="edit" aspectratio="f"/>
              <v:textbox inset="0mm,0mm,0mm,0mm">
                <w:txbxContent>
                  <w:p w14:paraId="29BABA53">
                    <w:pPr>
                      <w:spacing w:line="206" w:lineRule="exact"/>
                      <w:ind w:left="215"/>
                      <w:rPr>
                        <w:rFonts w:ascii="Arial" w:hAnsi="Arial" w:eastAsia="Arial" w:cs="Arial"/>
                        <w:sz w:val="18"/>
                        <w:szCs w:val="18"/>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A06EA0"/>
    <w:multiLevelType w:val="singleLevel"/>
    <w:tmpl w:val="13A06EA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RlYzZmOTQ3NTM0NDliMjIyMDE3YjcwNGIyODgzNTEifQ=="/>
  </w:docVars>
  <w:rsids>
    <w:rsidRoot w:val="00FD24F5"/>
    <w:rsid w:val="001B1371"/>
    <w:rsid w:val="0023046B"/>
    <w:rsid w:val="002633F5"/>
    <w:rsid w:val="002A4BA4"/>
    <w:rsid w:val="00332247"/>
    <w:rsid w:val="00402135"/>
    <w:rsid w:val="004E6090"/>
    <w:rsid w:val="005B0860"/>
    <w:rsid w:val="005C723E"/>
    <w:rsid w:val="00692BD5"/>
    <w:rsid w:val="006A1CF6"/>
    <w:rsid w:val="006B099E"/>
    <w:rsid w:val="00710160"/>
    <w:rsid w:val="00733877"/>
    <w:rsid w:val="00881A79"/>
    <w:rsid w:val="009667C7"/>
    <w:rsid w:val="00AB2043"/>
    <w:rsid w:val="00B863FC"/>
    <w:rsid w:val="00CA4A85"/>
    <w:rsid w:val="00CD2966"/>
    <w:rsid w:val="00D3662C"/>
    <w:rsid w:val="00D517B9"/>
    <w:rsid w:val="00D620DA"/>
    <w:rsid w:val="00D87F6B"/>
    <w:rsid w:val="00DB1B8E"/>
    <w:rsid w:val="00EF4ADC"/>
    <w:rsid w:val="00FD24F5"/>
    <w:rsid w:val="06F33B8F"/>
    <w:rsid w:val="08AC2C45"/>
    <w:rsid w:val="0CAB045E"/>
    <w:rsid w:val="18052E77"/>
    <w:rsid w:val="19741C39"/>
    <w:rsid w:val="1EF220F2"/>
    <w:rsid w:val="2417336C"/>
    <w:rsid w:val="24E67A65"/>
    <w:rsid w:val="264C1661"/>
    <w:rsid w:val="32544FB6"/>
    <w:rsid w:val="36EF7E2E"/>
    <w:rsid w:val="379C47D7"/>
    <w:rsid w:val="3F306FCE"/>
    <w:rsid w:val="41B30A92"/>
    <w:rsid w:val="426975C8"/>
    <w:rsid w:val="4AB1122C"/>
    <w:rsid w:val="4C9E4F95"/>
    <w:rsid w:val="4D5B44F4"/>
    <w:rsid w:val="647C61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8"/>
    <w:unhideWhenUsed/>
    <w:qFormat/>
    <w:uiPriority w:val="99"/>
    <w:pPr>
      <w:jc w:val="left"/>
    </w:pPr>
  </w:style>
  <w:style w:type="paragraph" w:styleId="12">
    <w:name w:val="Body Text"/>
    <w:basedOn w:val="1"/>
    <w:link w:val="46"/>
    <w:qFormat/>
    <w:uiPriority w:val="1"/>
    <w:pPr>
      <w:ind w:left="139"/>
      <w:jc w:val="left"/>
    </w:pPr>
    <w:rPr>
      <w:rFonts w:ascii="仿宋" w:hAnsi="仿宋" w:eastAsia="仿宋"/>
      <w:kern w:val="0"/>
      <w:sz w:val="31"/>
      <w:szCs w:val="31"/>
      <w:lang w:eastAsia="en-US"/>
    </w:rPr>
  </w:style>
  <w:style w:type="paragraph" w:styleId="13">
    <w:name w:val="footer"/>
    <w:basedOn w:val="1"/>
    <w:link w:val="44"/>
    <w:unhideWhenUsed/>
    <w:qFormat/>
    <w:uiPriority w:val="99"/>
    <w:pPr>
      <w:tabs>
        <w:tab w:val="center" w:pos="4153"/>
        <w:tab w:val="right" w:pos="8306"/>
      </w:tabs>
      <w:snapToGrid w:val="0"/>
      <w:jc w:val="left"/>
    </w:pPr>
    <w:rPr>
      <w:sz w:val="18"/>
      <w:szCs w:val="18"/>
    </w:rPr>
  </w:style>
  <w:style w:type="paragraph" w:styleId="14">
    <w:name w:val="header"/>
    <w:basedOn w:val="1"/>
    <w:link w:val="43"/>
    <w:unhideWhenUsed/>
    <w:qFormat/>
    <w:uiPriority w:val="99"/>
    <w:pPr>
      <w:tabs>
        <w:tab w:val="center" w:pos="4153"/>
        <w:tab w:val="right" w:pos="8306"/>
      </w:tabs>
      <w:snapToGrid w:val="0"/>
      <w:jc w:val="center"/>
    </w:pPr>
    <w:rPr>
      <w:sz w:val="18"/>
      <w:szCs w:val="18"/>
    </w:rPr>
  </w:style>
  <w:style w:type="paragraph" w:styleId="15">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7">
    <w:name w:val="annotation subject"/>
    <w:basedOn w:val="11"/>
    <w:next w:val="11"/>
    <w:link w:val="49"/>
    <w:semiHidden/>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Hyperlink"/>
    <w:basedOn w:val="20"/>
    <w:unhideWhenUsed/>
    <w:qFormat/>
    <w:uiPriority w:val="99"/>
    <w:rPr>
      <w:color w:val="467886"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character" w:customStyle="1" w:styleId="24">
    <w:name w:val="标题 1 字符"/>
    <w:basedOn w:val="20"/>
    <w:link w:val="2"/>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2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20"/>
    <w:link w:val="5"/>
    <w:semiHidden/>
    <w:qFormat/>
    <w:uiPriority w:val="9"/>
    <w:rPr>
      <w:rFonts w:cstheme="majorBidi"/>
      <w:color w:val="104862" w:themeColor="accent1" w:themeShade="BF"/>
      <w:sz w:val="28"/>
      <w:szCs w:val="28"/>
    </w:rPr>
  </w:style>
  <w:style w:type="character" w:customStyle="1" w:styleId="28">
    <w:name w:val="标题 5 字符"/>
    <w:basedOn w:val="20"/>
    <w:link w:val="6"/>
    <w:semiHidden/>
    <w:qFormat/>
    <w:uiPriority w:val="9"/>
    <w:rPr>
      <w:rFonts w:cstheme="majorBidi"/>
      <w:color w:val="104862" w:themeColor="accent1" w:themeShade="BF"/>
      <w:sz w:val="24"/>
      <w:szCs w:val="24"/>
    </w:rPr>
  </w:style>
  <w:style w:type="character" w:customStyle="1" w:styleId="29">
    <w:name w:val="标题 6 字符"/>
    <w:basedOn w:val="20"/>
    <w:link w:val="7"/>
    <w:semiHidden/>
    <w:qFormat/>
    <w:uiPriority w:val="9"/>
    <w:rPr>
      <w:rFonts w:cstheme="majorBidi"/>
      <w:b/>
      <w:bCs/>
      <w:color w:val="104862" w:themeColor="accent1" w:themeShade="BF"/>
    </w:rPr>
  </w:style>
  <w:style w:type="character" w:customStyle="1" w:styleId="30">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0"/>
    <w:link w:val="16"/>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0"/>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20"/>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0"/>
    <w:link w:val="39"/>
    <w:qFormat/>
    <w:uiPriority w:val="30"/>
    <w:rPr>
      <w:i/>
      <w:iCs/>
      <w:color w:val="104862" w:themeColor="accent1" w:themeShade="BF"/>
    </w:rPr>
  </w:style>
  <w:style w:type="character" w:customStyle="1" w:styleId="41">
    <w:name w:val="明显参考1"/>
    <w:basedOn w:val="20"/>
    <w:qFormat/>
    <w:uiPriority w:val="32"/>
    <w:rPr>
      <w:b/>
      <w:bCs/>
      <w:smallCaps/>
      <w:color w:val="104862" w:themeColor="accent1" w:themeShade="BF"/>
      <w:spacing w:val="5"/>
    </w:rPr>
  </w:style>
  <w:style w:type="character" w:customStyle="1" w:styleId="42">
    <w:name w:val="未处理的提及1"/>
    <w:basedOn w:val="20"/>
    <w:semiHidden/>
    <w:unhideWhenUsed/>
    <w:qFormat/>
    <w:uiPriority w:val="99"/>
    <w:rPr>
      <w:color w:val="605E5C"/>
      <w:shd w:val="clear" w:color="auto" w:fill="E1DFDD"/>
    </w:rPr>
  </w:style>
  <w:style w:type="character" w:customStyle="1" w:styleId="43">
    <w:name w:val="页眉 字符"/>
    <w:basedOn w:val="20"/>
    <w:link w:val="14"/>
    <w:qFormat/>
    <w:uiPriority w:val="99"/>
    <w:rPr>
      <w:sz w:val="18"/>
      <w:szCs w:val="18"/>
    </w:rPr>
  </w:style>
  <w:style w:type="character" w:customStyle="1" w:styleId="44">
    <w:name w:val="页脚 字符"/>
    <w:basedOn w:val="20"/>
    <w:link w:val="13"/>
    <w:qFormat/>
    <w:uiPriority w:val="99"/>
    <w:rPr>
      <w:sz w:val="18"/>
      <w:szCs w:val="18"/>
    </w:rPr>
  </w:style>
  <w:style w:type="table" w:customStyle="1" w:styleId="45">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character" w:customStyle="1" w:styleId="46">
    <w:name w:val="正文文本 字符"/>
    <w:basedOn w:val="20"/>
    <w:link w:val="12"/>
    <w:qFormat/>
    <w:uiPriority w:val="1"/>
    <w:rPr>
      <w:rFonts w:ascii="仿宋" w:hAnsi="仿宋" w:eastAsia="仿宋"/>
      <w:kern w:val="0"/>
      <w:sz w:val="31"/>
      <w:szCs w:val="31"/>
      <w:lang w:eastAsia="en-US"/>
    </w:rPr>
  </w:style>
  <w:style w:type="paragraph" w:customStyle="1" w:styleId="47">
    <w:name w:val="Table Paragraph"/>
    <w:basedOn w:val="1"/>
    <w:qFormat/>
    <w:uiPriority w:val="1"/>
    <w:pPr>
      <w:jc w:val="left"/>
    </w:pPr>
    <w:rPr>
      <w:kern w:val="0"/>
      <w:sz w:val="22"/>
      <w:lang w:eastAsia="en-US"/>
    </w:rPr>
  </w:style>
  <w:style w:type="character" w:customStyle="1" w:styleId="48">
    <w:name w:val="批注文字 字符"/>
    <w:basedOn w:val="20"/>
    <w:link w:val="11"/>
    <w:qFormat/>
    <w:uiPriority w:val="99"/>
    <w:rPr>
      <w:rFonts w:asciiTheme="minorHAnsi" w:hAnsiTheme="minorHAnsi" w:eastAsiaTheme="minorEastAsia" w:cstheme="minorBidi"/>
      <w:kern w:val="2"/>
      <w:sz w:val="21"/>
      <w:szCs w:val="22"/>
    </w:rPr>
  </w:style>
  <w:style w:type="character" w:customStyle="1" w:styleId="49">
    <w:name w:val="批注主题 字符"/>
    <w:basedOn w:val="48"/>
    <w:link w:val="1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710</Words>
  <Characters>730</Characters>
  <Lines>210</Lines>
  <Paragraphs>148</Paragraphs>
  <TotalTime>1</TotalTime>
  <ScaleCrop>false</ScaleCrop>
  <LinksUpToDate>false</LinksUpToDate>
  <CharactersWithSpaces>741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2024-09-02T02:40:00Z</dcterms:created>
  <dc:creator>laoni</dc:creator>
  <cp:lastModifiedBy>H+H</cp:lastModifiedBy>
  <dcterms:modified xsi:type="dcterms:W3CDTF">2026-09-17T12:36:19Z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CB3648F8EDAA4114AD7AA7EEC220F9D2_13</vt:lpwstr>
  </property>
  <property fmtid="{D5CDD505-2E9C-101B-9397-08002B2CF9AE}" pid="4" name="KSOTemplateDocerSaveRecord">
    <vt:lpwstr>eyJoZGlkIjoiNTU0ZmIwYTQ3NzlmZGUxZmU3Zjk0M2IyZTNmM2IxNjAiLCJ1c2VySWQiOiI3MjIwMDU1MzMifQ==</vt:lpwstr>
  </property>
</Properties>
</file>