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44880" w14:textId="77777777" w:rsidR="00A661BA" w:rsidRDefault="00AF3030">
      <w:pPr>
        <w:spacing w:line="500" w:lineRule="exact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附件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六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：</w:t>
      </w:r>
    </w:p>
    <w:p w14:paraId="5C7E5E92" w14:textId="77777777" w:rsidR="00A661BA" w:rsidRDefault="00AF3030">
      <w:pPr>
        <w:spacing w:beforeLines="50" w:before="156" w:afterLines="50" w:after="156" w:line="520" w:lineRule="exact"/>
        <w:ind w:left="480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“优秀新闻宣传组织”评选方案</w:t>
      </w:r>
    </w:p>
    <w:p w14:paraId="76FEDB7B" w14:textId="77777777" w:rsidR="00A661BA" w:rsidRDefault="00AF3030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评选时间：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日—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日（相关材料需</w:t>
      </w:r>
      <w:r>
        <w:rPr>
          <w:rFonts w:ascii="仿宋_GB2312" w:eastAsia="仿宋_GB2312" w:hAnsi="仿宋_GB2312" w:cs="仿宋_GB2312"/>
          <w:sz w:val="28"/>
          <w:szCs w:val="28"/>
        </w:rPr>
        <w:t>23</w:t>
      </w:r>
      <w:r>
        <w:rPr>
          <w:rFonts w:ascii="仿宋_GB2312" w:eastAsia="仿宋_GB2312" w:hAnsi="仿宋_GB2312" w:cs="仿宋_GB2312" w:hint="eastAsia"/>
          <w:sz w:val="28"/>
          <w:szCs w:val="28"/>
        </w:rPr>
        <w:t>日前</w:t>
      </w:r>
      <w:r>
        <w:rPr>
          <w:rFonts w:ascii="仿宋_GB2312" w:eastAsia="仿宋_GB2312" w:hAnsi="仿宋_GB2312" w:cs="仿宋_GB2312" w:hint="eastAsia"/>
          <w:sz w:val="28"/>
          <w:szCs w:val="28"/>
        </w:rPr>
        <w:t>提</w:t>
      </w:r>
      <w:r>
        <w:rPr>
          <w:rFonts w:ascii="仿宋_GB2312" w:eastAsia="仿宋_GB2312" w:hAnsi="仿宋_GB2312" w:cs="仿宋_GB2312" w:hint="eastAsia"/>
          <w:sz w:val="28"/>
          <w:szCs w:val="28"/>
        </w:rPr>
        <w:t>交至邮箱</w:t>
      </w:r>
      <w:r>
        <w:rPr>
          <w:rFonts w:ascii="仿宋_GB2312" w:eastAsia="仿宋_GB2312" w:hAnsi="仿宋_GB2312" w:cs="仿宋_GB2312" w:hint="eastAsia"/>
          <w:sz w:val="28"/>
          <w:szCs w:val="28"/>
        </w:rPr>
        <w:t>cb2020vip@163.com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</w:p>
    <w:p w14:paraId="2A36F2B9" w14:textId="77777777" w:rsidR="00A661BA" w:rsidRDefault="00AF3030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参评对象：</w:t>
      </w:r>
      <w:r>
        <w:rPr>
          <w:rFonts w:ascii="仿宋" w:eastAsia="仿宋" w:hAnsi="仿宋" w:cs="仿宋" w:hint="eastAsia"/>
          <w:sz w:val="28"/>
          <w:szCs w:val="28"/>
        </w:rPr>
        <w:t>福建工程学院各学院</w:t>
      </w:r>
    </w:p>
    <w:p w14:paraId="190A728F" w14:textId="77777777" w:rsidR="00A661BA" w:rsidRDefault="00AF3030">
      <w:pPr>
        <w:numPr>
          <w:ilvl w:val="0"/>
          <w:numId w:val="1"/>
        </w:num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评选材料要求：</w:t>
      </w:r>
    </w:p>
    <w:p w14:paraId="40D99923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）各学院</w:t>
      </w:r>
      <w:proofErr w:type="gramStart"/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记者团需围绕</w:t>
      </w:r>
      <w:proofErr w:type="gramEnd"/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本学院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-20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年学院宣传建设成果展示。内容包括</w:t>
      </w:r>
      <w:r>
        <w:rPr>
          <w:rFonts w:ascii="仿宋_GB2312" w:eastAsia="仿宋_GB2312" w:hAnsi="仿宋_GB2312" w:cs="仿宋_GB2312" w:hint="eastAsia"/>
          <w:sz w:val="28"/>
          <w:szCs w:val="28"/>
        </w:rPr>
        <w:t>学院宣传团队简介及照片、学院特色活动简介及照片、学院优秀稿件刊登平台展示、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最佳报道、学院新媒体建设思路、建设特色、新媒体建设相关数据活动效果等</w:t>
      </w:r>
      <w:r>
        <w:rPr>
          <w:rFonts w:ascii="仿宋_GB2312" w:eastAsia="仿宋_GB2312" w:hAnsi="仿宋_GB2312" w:cs="仿宋_GB2312" w:hint="eastAsia"/>
          <w:sz w:val="28"/>
          <w:szCs w:val="28"/>
        </w:rPr>
        <w:t>等。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（填写附加表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）</w:t>
      </w:r>
    </w:p>
    <w:p w14:paraId="76D4AE9A" w14:textId="1F4EA2A2" w:rsidR="00A661BA" w:rsidRDefault="00AF3030">
      <w:pPr>
        <w:spacing w:line="52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、评分规则：</w:t>
      </w:r>
    </w:p>
    <w:p w14:paraId="583B3072" w14:textId="77777777" w:rsidR="00A661BA" w:rsidRDefault="00AF3030">
      <w:pPr>
        <w:widowControl/>
        <w:spacing w:line="520" w:lineRule="exact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总分</w:t>
      </w:r>
      <w:r>
        <w:rPr>
          <w:rFonts w:ascii="仿宋_GB2312" w:eastAsia="仿宋_GB2312" w:hAnsi="仿宋_GB2312" w:cs="仿宋_GB2312" w:hint="eastAsia"/>
          <w:sz w:val="28"/>
          <w:szCs w:val="28"/>
        </w:rPr>
        <w:t>=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工作业绩（</w:t>
      </w: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评委评选得分（</w:t>
      </w:r>
      <w:r>
        <w:rPr>
          <w:rFonts w:ascii="仿宋_GB2312" w:eastAsia="仿宋_GB2312" w:hAnsi="仿宋_GB2312" w:cs="仿宋_GB2312" w:hint="eastAsia"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％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线上投票得分（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％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14:paraId="71BE71D5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、工作业绩（</w:t>
      </w:r>
      <w:r>
        <w:rPr>
          <w:rFonts w:ascii="仿宋_GB2312" w:eastAsia="仿宋_GB2312" w:hAnsi="仿宋_GB2312" w:cs="仿宋_GB2312" w:hint="eastAsia"/>
          <w:sz w:val="28"/>
          <w:szCs w:val="28"/>
        </w:rPr>
        <w:t>50%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</w:p>
    <w:p w14:paraId="3221F237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  <w:lang w:val="zh-CN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报送及上传至学工网站稿件数量（</w:t>
      </w:r>
      <w:r>
        <w:rPr>
          <w:rFonts w:ascii="仿宋_GB2312" w:eastAsia="仿宋_GB2312" w:hAnsi="仿宋_GB2312" w:cs="仿宋_GB2312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0%</w:t>
      </w:r>
      <w:r>
        <w:rPr>
          <w:rFonts w:ascii="仿宋_GB2312" w:eastAsia="仿宋_GB2312" w:hAnsi="仿宋_GB2312" w:cs="仿宋_GB2312" w:hint="eastAsia"/>
          <w:sz w:val="28"/>
          <w:szCs w:val="28"/>
        </w:rPr>
        <w:t>）（信息报送分数</w:t>
      </w:r>
      <w:r>
        <w:rPr>
          <w:rFonts w:ascii="仿宋_GB2312" w:eastAsia="仿宋_GB2312" w:hAnsi="仿宋_GB2312" w:cs="仿宋_GB2312" w:hint="eastAsia"/>
          <w:sz w:val="28"/>
          <w:szCs w:val="28"/>
        </w:rPr>
        <w:t>=</w:t>
      </w:r>
      <w:r>
        <w:rPr>
          <w:rFonts w:ascii="仿宋_GB2312" w:eastAsia="仿宋_GB2312" w:hAnsi="仿宋_GB2312" w:cs="仿宋_GB2312" w:hint="eastAsia"/>
          <w:sz w:val="28"/>
          <w:szCs w:val="28"/>
        </w:rPr>
        <w:t>报送的稿件数量</w:t>
      </w:r>
      <w:r>
        <w:rPr>
          <w:rFonts w:ascii="仿宋_GB2312" w:eastAsia="仿宋_GB2312" w:hAnsi="仿宋_GB2312" w:cs="仿宋_GB2312" w:hint="eastAsia"/>
          <w:sz w:val="28"/>
          <w:szCs w:val="28"/>
        </w:rPr>
        <w:t>*0.3+</w:t>
      </w:r>
      <w:r>
        <w:rPr>
          <w:rFonts w:ascii="仿宋_GB2312" w:eastAsia="仿宋_GB2312" w:hAnsi="仿宋_GB2312" w:cs="仿宋_GB2312" w:hint="eastAsia"/>
          <w:sz w:val="28"/>
          <w:szCs w:val="28"/>
        </w:rPr>
        <w:t>上传至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学工网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稿件数量</w:t>
      </w:r>
      <w:r>
        <w:rPr>
          <w:rFonts w:ascii="仿宋_GB2312" w:eastAsia="仿宋_GB2312" w:hAnsi="仿宋_GB2312" w:cs="仿宋_GB2312" w:hint="eastAsia"/>
          <w:sz w:val="28"/>
          <w:szCs w:val="28"/>
        </w:rPr>
        <w:t>*1</w:t>
      </w:r>
      <w:r>
        <w:rPr>
          <w:rFonts w:ascii="仿宋_GB2312" w:eastAsia="仿宋_GB2312" w:hAnsi="仿宋_GB2312" w:cs="仿宋_GB2312" w:hint="eastAsia"/>
          <w:sz w:val="28"/>
          <w:szCs w:val="28"/>
        </w:rPr>
        <w:t>）第一名得分</w:t>
      </w:r>
      <w:r>
        <w:rPr>
          <w:rFonts w:ascii="仿宋_GB2312" w:eastAsia="仿宋_GB2312" w:hAnsi="仿宋_GB2312" w:cs="仿宋_GB2312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分，依次递减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分。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（统计时间为</w:t>
      </w:r>
      <w:r>
        <w:rPr>
          <w:rFonts w:ascii="仿宋_GB2312" w:eastAsia="仿宋_GB2312" w:hAnsi="仿宋_GB2312" w:cs="仿宋_GB2312" w:hint="eastAsia"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至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10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日）。</w:t>
      </w:r>
    </w:p>
    <w:p w14:paraId="5B55E8F1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  <w:lang w:val="zh-CN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）亲苍霞学工在线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投放和刊登情况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1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％）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（分数统计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=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稿件投放量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*0.1+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刊登稿件量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*0.3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第一名得分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分，依次递减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分。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（统计时间为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日至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日各学院投稿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以及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易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周新闻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）</w:t>
      </w:r>
    </w:p>
    <w:p w14:paraId="09D651E7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  <w:lang w:val="zh-CN"/>
        </w:rPr>
      </w:pP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_GB2312" w:cs="仿宋_GB2312"/>
          <w:sz w:val="28"/>
          <w:szCs w:val="28"/>
          <w:lang w:val="zh-CN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）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往官微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、校报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及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外媒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新闻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稿件投放和刊登情况（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10%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）（分数统计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=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新闻稿件投放量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*0.1+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刊登新闻稿件量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*0.3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sz w:val="28"/>
          <w:szCs w:val="28"/>
        </w:rPr>
        <w:t>第一名得分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分，依次递减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分。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（统计时间为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201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日至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30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  <w:lang w:val="zh-CN"/>
        </w:rPr>
        <w:t>）</w:t>
      </w:r>
    </w:p>
    <w:p w14:paraId="7E10B10E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）表彰获奖（</w:t>
      </w:r>
      <w:r>
        <w:rPr>
          <w:rFonts w:ascii="仿宋_GB2312" w:eastAsia="仿宋_GB2312" w:hAnsi="仿宋_GB2312" w:cs="仿宋_GB2312" w:hint="eastAsia"/>
          <w:sz w:val="28"/>
          <w:szCs w:val="28"/>
        </w:rPr>
        <w:t>10%</w:t>
      </w:r>
      <w:r>
        <w:rPr>
          <w:rFonts w:ascii="仿宋_GB2312" w:eastAsia="仿宋_GB2312" w:hAnsi="仿宋_GB2312" w:cs="仿宋_GB2312" w:hint="eastAsia"/>
          <w:sz w:val="28"/>
          <w:szCs w:val="28"/>
        </w:rPr>
        <w:t>）：记者团成员在记者节活动中获奖（</w:t>
      </w:r>
      <w:r>
        <w:rPr>
          <w:rFonts w:ascii="仿宋_GB2312" w:eastAsia="仿宋_GB2312" w:hAnsi="仿宋_GB2312" w:cs="仿宋_GB2312" w:hint="eastAsia"/>
          <w:sz w:val="28"/>
          <w:szCs w:val="28"/>
        </w:rPr>
        <w:t>50%</w:t>
      </w:r>
      <w:r>
        <w:rPr>
          <w:rFonts w:ascii="仿宋_GB2312" w:eastAsia="仿宋_GB2312" w:hAnsi="仿宋_GB2312" w:cs="仿宋_GB2312" w:hint="eastAsia"/>
          <w:sz w:val="28"/>
          <w:szCs w:val="28"/>
        </w:rPr>
        <w:t>）；校级、院级工作中团体及个人获奖情况（</w:t>
      </w:r>
      <w:r>
        <w:rPr>
          <w:rFonts w:ascii="仿宋_GB2312" w:eastAsia="仿宋_GB2312" w:hAnsi="仿宋_GB2312" w:cs="仿宋_GB2312" w:hint="eastAsia"/>
          <w:sz w:val="28"/>
          <w:szCs w:val="28"/>
        </w:rPr>
        <w:t>50%</w:t>
      </w:r>
      <w:r>
        <w:rPr>
          <w:rFonts w:ascii="仿宋_GB2312" w:eastAsia="仿宋_GB2312" w:hAnsi="仿宋_GB2312" w:cs="仿宋_GB2312" w:hint="eastAsia"/>
          <w:sz w:val="28"/>
          <w:szCs w:val="28"/>
        </w:rPr>
        <w:t>）。</w:t>
      </w:r>
    </w:p>
    <w:p w14:paraId="61655162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</w:t>
      </w: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）活动参与（</w:t>
      </w:r>
      <w:r>
        <w:rPr>
          <w:rFonts w:ascii="仿宋_GB2312" w:eastAsia="仿宋_GB2312" w:hAnsi="仿宋_GB2312" w:cs="仿宋_GB2312" w:hint="eastAsia"/>
          <w:sz w:val="28"/>
          <w:szCs w:val="28"/>
        </w:rPr>
        <w:t>10%</w:t>
      </w:r>
      <w:r>
        <w:rPr>
          <w:rFonts w:ascii="仿宋_GB2312" w:eastAsia="仿宋_GB2312" w:hAnsi="仿宋_GB2312" w:cs="仿宋_GB2312" w:hint="eastAsia"/>
          <w:sz w:val="28"/>
          <w:szCs w:val="28"/>
        </w:rPr>
        <w:t>）：记者节系列活动</w:t>
      </w:r>
      <w:r>
        <w:rPr>
          <w:rFonts w:ascii="仿宋_GB2312" w:eastAsia="仿宋_GB2312" w:hAnsi="仿宋_GB2312" w:cs="仿宋_GB2312" w:hint="eastAsia"/>
          <w:sz w:val="28"/>
          <w:szCs w:val="28"/>
        </w:rPr>
        <w:t>+[</w:t>
      </w:r>
      <w:r>
        <w:rPr>
          <w:rFonts w:ascii="仿宋_GB2312" w:eastAsia="仿宋_GB2312" w:hAnsi="仿宋_GB2312" w:cs="仿宋_GB2312" w:hint="eastAsia"/>
          <w:sz w:val="28"/>
          <w:szCs w:val="28"/>
        </w:rPr>
        <w:t>各学院（总人数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获奖人数）</w:t>
      </w:r>
      <w:r>
        <w:rPr>
          <w:rFonts w:ascii="仿宋_GB2312" w:eastAsia="仿宋_GB2312" w:hAnsi="仿宋_GB2312" w:cs="仿宋_GB2312" w:hint="eastAsia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sz w:val="28"/>
          <w:szCs w:val="28"/>
        </w:rPr>
        <w:t>所有学院（总人数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获奖人数）</w:t>
      </w:r>
      <w:r>
        <w:rPr>
          <w:rFonts w:ascii="仿宋_GB2312" w:eastAsia="仿宋_GB2312" w:hAnsi="仿宋_GB2312" w:cs="仿宋_GB2312" w:hint="eastAsia"/>
          <w:sz w:val="28"/>
          <w:szCs w:val="28"/>
        </w:rPr>
        <w:t>]*10=</w:t>
      </w:r>
      <w:r>
        <w:rPr>
          <w:rFonts w:ascii="仿宋_GB2312" w:eastAsia="仿宋_GB2312" w:hAnsi="仿宋_GB2312" w:cs="仿宋_GB2312" w:hint="eastAsia"/>
          <w:sz w:val="28"/>
          <w:szCs w:val="28"/>
        </w:rPr>
        <w:t>记者节系列活动参与活跃度得分。</w:t>
      </w:r>
    </w:p>
    <w:p w14:paraId="06EFFAA4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、评委评选（</w:t>
      </w: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）</w:t>
      </w:r>
    </w:p>
    <w:p w14:paraId="3F6F177B" w14:textId="77777777" w:rsidR="00A661BA" w:rsidRDefault="00AF3030">
      <w:pPr>
        <w:widowControl/>
        <w:spacing w:line="520" w:lineRule="exact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、线上投票（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10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）：通过</w:t>
      </w:r>
      <w:proofErr w:type="gramStart"/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易班轻应用</w:t>
      </w:r>
      <w:proofErr w:type="gramEnd"/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进行网络投票。</w:t>
      </w:r>
    </w:p>
    <w:p w14:paraId="23E4A27A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b/>
          <w:bCs/>
          <w:sz w:val="28"/>
          <w:szCs w:val="28"/>
          <w:lang w:val="zh-CN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五、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  <w:lang w:val="zh-CN"/>
        </w:rPr>
        <w:t>奖项设置</w:t>
      </w:r>
    </w:p>
    <w:p w14:paraId="1539DF2A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将评选出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01</w:t>
      </w:r>
      <w:r>
        <w:rPr>
          <w:rFonts w:ascii="仿宋_GB2312" w:eastAsia="仿宋_GB2312" w:hAnsi="仿宋_GB2312" w:cs="仿宋_GB2312" w:hint="eastAsia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—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年度宣传先进单位给予相应表彰。</w:t>
      </w:r>
    </w:p>
    <w:p w14:paraId="6833149D" w14:textId="77777777" w:rsidR="00A661BA" w:rsidRDefault="00AF3030">
      <w:pPr>
        <w:spacing w:line="520" w:lineRule="exac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（注：第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九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届获得优秀记者团一等奖的学院可以直接推选一名选手进入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决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赛。）</w:t>
      </w:r>
    </w:p>
    <w:p w14:paraId="0AAABA62" w14:textId="77777777" w:rsidR="00A661BA" w:rsidRDefault="00A661BA">
      <w:pPr>
        <w:spacing w:beforeLines="50" w:before="156" w:afterLines="50" w:after="156" w:line="500" w:lineRule="exact"/>
        <w:ind w:left="480"/>
        <w:jc w:val="center"/>
        <w:rPr>
          <w:rFonts w:ascii="仿宋_GB2312" w:eastAsia="仿宋_GB2312" w:hAnsi="仿宋_GB2312" w:cs="仿宋_GB2312"/>
          <w:b/>
          <w:bCs/>
          <w:sz w:val="32"/>
          <w:szCs w:val="32"/>
          <w:lang w:val="zh-CN"/>
        </w:rPr>
      </w:pPr>
    </w:p>
    <w:p w14:paraId="52BCF1EE" w14:textId="77777777" w:rsidR="00A661BA" w:rsidRDefault="00AF3030">
      <w:pPr>
        <w:spacing w:beforeLines="50" w:before="156" w:afterLines="50" w:after="156" w:line="500" w:lineRule="exact"/>
        <w:ind w:left="480"/>
        <w:jc w:val="center"/>
        <w:rPr>
          <w:rFonts w:ascii="仿宋_GB2312" w:eastAsia="仿宋_GB2312" w:hAnsi="仿宋_GB2312" w:cs="仿宋_GB2312"/>
          <w:b/>
          <w:bCs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val="zh-CN"/>
        </w:rPr>
        <w:t>福建工程学院年度宣传先进单位推荐表</w:t>
      </w:r>
    </w:p>
    <w:tbl>
      <w:tblPr>
        <w:tblW w:w="8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2475"/>
        <w:gridCol w:w="1538"/>
        <w:gridCol w:w="3046"/>
      </w:tblGrid>
      <w:tr w:rsidR="00A661BA" w14:paraId="011C4E45" w14:textId="77777777">
        <w:trPr>
          <w:trHeight w:val="1506"/>
        </w:trPr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A175F" w14:textId="77777777" w:rsidR="00A661BA" w:rsidRDefault="00AF303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 w:bidi="ar"/>
              </w:rPr>
              <w:t>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 w:bidi="ar"/>
              </w:rPr>
              <w:t>院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7F5E2B" w14:textId="77777777" w:rsidR="00A661BA" w:rsidRDefault="00A661B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</w:p>
        </w:tc>
        <w:tc>
          <w:tcPr>
            <w:tcW w:w="1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4C7C79" w14:textId="77777777" w:rsidR="00A661BA" w:rsidRDefault="00A661B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</w:p>
        </w:tc>
        <w:tc>
          <w:tcPr>
            <w:tcW w:w="30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501AAE" w14:textId="77777777" w:rsidR="00A661BA" w:rsidRDefault="00A661B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</w:p>
        </w:tc>
      </w:tr>
      <w:tr w:rsidR="00A661BA" w14:paraId="16EE1CE7" w14:textId="77777777">
        <w:trPr>
          <w:trHeight w:val="749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3645D" w14:textId="77777777" w:rsidR="00A661BA" w:rsidRDefault="00AF303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 w:bidi="ar"/>
              </w:rPr>
              <w:t>优秀宣传案例名称及网络链接（可添加附件）</w:t>
            </w:r>
          </w:p>
        </w:tc>
        <w:tc>
          <w:tcPr>
            <w:tcW w:w="70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E1F93" w14:textId="77777777" w:rsidR="00A661BA" w:rsidRDefault="00AF3030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</w:p>
        </w:tc>
      </w:tr>
      <w:tr w:rsidR="00A661BA" w14:paraId="5907ACF0" w14:textId="77777777">
        <w:trPr>
          <w:trHeight w:val="739"/>
        </w:trPr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77CDE" w14:textId="77777777" w:rsidR="00A661BA" w:rsidRDefault="00A661BA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70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DE3E45" w14:textId="77777777" w:rsidR="00A661BA" w:rsidRDefault="00AF3030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</w:p>
        </w:tc>
      </w:tr>
      <w:tr w:rsidR="00A661BA" w14:paraId="09A81608" w14:textId="77777777">
        <w:trPr>
          <w:trHeight w:val="4132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826528" w14:textId="77777777" w:rsidR="00A661BA" w:rsidRDefault="00AF303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/>
              </w:rPr>
              <w:t>学院新闻建设</w:t>
            </w:r>
          </w:p>
        </w:tc>
        <w:tc>
          <w:tcPr>
            <w:tcW w:w="70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F6D93" w14:textId="77777777" w:rsidR="00A661BA" w:rsidRDefault="00AF3030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/>
              </w:rPr>
              <w:t>学院特色活动简介及照片活动数据、学院优秀稿件刊登平台展示、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/>
              </w:rPr>
              <w:t>最佳报道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/>
              </w:rPr>
              <w:t>等。</w:t>
            </w:r>
          </w:p>
          <w:p w14:paraId="04CB632B" w14:textId="77777777" w:rsidR="00A661BA" w:rsidRDefault="00A661BA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661BA" w14:paraId="25DEEFAB" w14:textId="77777777">
        <w:trPr>
          <w:trHeight w:val="3562"/>
        </w:trPr>
        <w:tc>
          <w:tcPr>
            <w:tcW w:w="15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61E73C" w14:textId="77777777" w:rsidR="00A661BA" w:rsidRDefault="00A661BA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70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0905D" w14:textId="77777777" w:rsidR="00A661BA" w:rsidRDefault="00AF3030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、学院新媒体建设思路，建设特色，新媒体建设相关数据活动效果等</w:t>
            </w:r>
          </w:p>
        </w:tc>
      </w:tr>
      <w:tr w:rsidR="00A661BA" w14:paraId="477E4A40" w14:textId="77777777">
        <w:trPr>
          <w:trHeight w:val="1449"/>
        </w:trPr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9D2937" w14:textId="77777777" w:rsidR="00A661BA" w:rsidRDefault="00AF303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_GB2312" w:cs="仿宋_GB2312"/>
                <w:kern w:val="0"/>
                <w:sz w:val="22"/>
                <w:szCs w:val="22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lang w:val="zh-CN"/>
              </w:rPr>
              <w:t>宣传团队简介及照片、</w:t>
            </w:r>
          </w:p>
        </w:tc>
        <w:tc>
          <w:tcPr>
            <w:tcW w:w="70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328BA" w14:textId="77777777" w:rsidR="00A661BA" w:rsidRDefault="00A661BA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hAnsi="仿宋_GB2312" w:cs="仿宋_GB2312"/>
                <w:kern w:val="0"/>
                <w:sz w:val="24"/>
                <w:lang w:val="zh-CN"/>
              </w:rPr>
            </w:pPr>
          </w:p>
        </w:tc>
      </w:tr>
    </w:tbl>
    <w:p w14:paraId="52F35B8E" w14:textId="77777777" w:rsidR="00A661BA" w:rsidRDefault="00AF3030">
      <w:pPr>
        <w:spacing w:line="480" w:lineRule="auto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2"/>
          <w:szCs w:val="22"/>
          <w:lang w:bidi="ar"/>
        </w:rPr>
        <w:t>注：此表格仅可自行加页</w:t>
      </w:r>
      <w:r>
        <w:rPr>
          <w:rFonts w:ascii="仿宋_GB2312" w:eastAsia="仿宋_GB2312" w:hAnsi="仿宋_GB2312" w:cs="仿宋_GB2312" w:hint="eastAsia"/>
          <w:b/>
          <w:kern w:val="0"/>
          <w:sz w:val="22"/>
          <w:szCs w:val="22"/>
          <w:lang w:val="zh-CN" w:bidi="ar"/>
        </w:rPr>
        <w:t>，复印有效。</w:t>
      </w:r>
    </w:p>
    <w:p w14:paraId="5D0C3C69" w14:textId="77777777" w:rsidR="00A661BA" w:rsidRDefault="00A661BA">
      <w:pPr>
        <w:rPr>
          <w:rFonts w:ascii="仿宋_GB2312" w:eastAsia="仿宋_GB2312" w:hAnsi="仿宋_GB2312" w:cs="仿宋_GB2312"/>
        </w:rPr>
      </w:pPr>
    </w:p>
    <w:p w14:paraId="39768294" w14:textId="77777777" w:rsidR="00A661BA" w:rsidRDefault="00A661BA">
      <w:pPr>
        <w:spacing w:line="520" w:lineRule="exac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</w:p>
    <w:sectPr w:rsidR="00A66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17D89"/>
    <w:multiLevelType w:val="singleLevel"/>
    <w:tmpl w:val="59F17D8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F4A"/>
    <w:rsid w:val="000971A6"/>
    <w:rsid w:val="000C122A"/>
    <w:rsid w:val="000D09BA"/>
    <w:rsid w:val="00110DEF"/>
    <w:rsid w:val="001E351D"/>
    <w:rsid w:val="00200F08"/>
    <w:rsid w:val="00204D30"/>
    <w:rsid w:val="0022217E"/>
    <w:rsid w:val="00252287"/>
    <w:rsid w:val="00254C74"/>
    <w:rsid w:val="00297D90"/>
    <w:rsid w:val="002B6F73"/>
    <w:rsid w:val="002D7607"/>
    <w:rsid w:val="003043C4"/>
    <w:rsid w:val="00311A26"/>
    <w:rsid w:val="00342D11"/>
    <w:rsid w:val="00350510"/>
    <w:rsid w:val="00384E19"/>
    <w:rsid w:val="00411BE0"/>
    <w:rsid w:val="00461947"/>
    <w:rsid w:val="00474D9B"/>
    <w:rsid w:val="004861FB"/>
    <w:rsid w:val="004915C1"/>
    <w:rsid w:val="00493FD5"/>
    <w:rsid w:val="004D7B5D"/>
    <w:rsid w:val="00523430"/>
    <w:rsid w:val="00597DB5"/>
    <w:rsid w:val="00614490"/>
    <w:rsid w:val="00616AA1"/>
    <w:rsid w:val="0063066F"/>
    <w:rsid w:val="00655BD2"/>
    <w:rsid w:val="006C67F1"/>
    <w:rsid w:val="007109C4"/>
    <w:rsid w:val="0073262A"/>
    <w:rsid w:val="007E6CB1"/>
    <w:rsid w:val="00806207"/>
    <w:rsid w:val="008130E3"/>
    <w:rsid w:val="008412EB"/>
    <w:rsid w:val="00893652"/>
    <w:rsid w:val="008E6CB0"/>
    <w:rsid w:val="0093691C"/>
    <w:rsid w:val="00945EE8"/>
    <w:rsid w:val="00956547"/>
    <w:rsid w:val="00994FE5"/>
    <w:rsid w:val="009B0716"/>
    <w:rsid w:val="009B0F4A"/>
    <w:rsid w:val="009F6FDF"/>
    <w:rsid w:val="009F77BA"/>
    <w:rsid w:val="00A661BA"/>
    <w:rsid w:val="00A819BA"/>
    <w:rsid w:val="00A8694E"/>
    <w:rsid w:val="00AF1DEB"/>
    <w:rsid w:val="00AF3030"/>
    <w:rsid w:val="00B26D8A"/>
    <w:rsid w:val="00B555C4"/>
    <w:rsid w:val="00B6248C"/>
    <w:rsid w:val="00BE29D5"/>
    <w:rsid w:val="00C24775"/>
    <w:rsid w:val="00C36CED"/>
    <w:rsid w:val="00C445CA"/>
    <w:rsid w:val="00C6299A"/>
    <w:rsid w:val="00CA1B1C"/>
    <w:rsid w:val="00CD27DE"/>
    <w:rsid w:val="00D25757"/>
    <w:rsid w:val="00DD2DCF"/>
    <w:rsid w:val="00DF2DAD"/>
    <w:rsid w:val="00DF54AB"/>
    <w:rsid w:val="00E16229"/>
    <w:rsid w:val="00E40188"/>
    <w:rsid w:val="00E81EC7"/>
    <w:rsid w:val="00EC2B09"/>
    <w:rsid w:val="00EE1E3C"/>
    <w:rsid w:val="00F01AF2"/>
    <w:rsid w:val="00F40A4D"/>
    <w:rsid w:val="037D3A06"/>
    <w:rsid w:val="064B4AF5"/>
    <w:rsid w:val="083232F0"/>
    <w:rsid w:val="0BD84752"/>
    <w:rsid w:val="0BFE3A31"/>
    <w:rsid w:val="0C7C63FF"/>
    <w:rsid w:val="0C881596"/>
    <w:rsid w:val="0D542D03"/>
    <w:rsid w:val="0DDB7ED2"/>
    <w:rsid w:val="0ED82E7F"/>
    <w:rsid w:val="12A141DE"/>
    <w:rsid w:val="154C6EC7"/>
    <w:rsid w:val="16CD6ABB"/>
    <w:rsid w:val="17390117"/>
    <w:rsid w:val="1A294835"/>
    <w:rsid w:val="1BE66289"/>
    <w:rsid w:val="1CD35C64"/>
    <w:rsid w:val="1D053C07"/>
    <w:rsid w:val="1EB64586"/>
    <w:rsid w:val="22695E1D"/>
    <w:rsid w:val="24976991"/>
    <w:rsid w:val="255B5F61"/>
    <w:rsid w:val="264D5CA7"/>
    <w:rsid w:val="2A8F5569"/>
    <w:rsid w:val="2C3F0937"/>
    <w:rsid w:val="2DE83E1F"/>
    <w:rsid w:val="2E0770A3"/>
    <w:rsid w:val="2F081734"/>
    <w:rsid w:val="2F345B08"/>
    <w:rsid w:val="33645A39"/>
    <w:rsid w:val="34E23244"/>
    <w:rsid w:val="37435576"/>
    <w:rsid w:val="375E3D60"/>
    <w:rsid w:val="396117BA"/>
    <w:rsid w:val="3A9E3691"/>
    <w:rsid w:val="3B5904CB"/>
    <w:rsid w:val="3C240FDB"/>
    <w:rsid w:val="3C6F1CFA"/>
    <w:rsid w:val="3D7A6320"/>
    <w:rsid w:val="3E43762A"/>
    <w:rsid w:val="40127802"/>
    <w:rsid w:val="40424A3F"/>
    <w:rsid w:val="414A47A0"/>
    <w:rsid w:val="429C3619"/>
    <w:rsid w:val="4460477B"/>
    <w:rsid w:val="44C51EE0"/>
    <w:rsid w:val="44C52996"/>
    <w:rsid w:val="482C18DC"/>
    <w:rsid w:val="4BB116B9"/>
    <w:rsid w:val="4C310202"/>
    <w:rsid w:val="4CD578B4"/>
    <w:rsid w:val="4D0844DF"/>
    <w:rsid w:val="4D3B3DC3"/>
    <w:rsid w:val="4F0B74D4"/>
    <w:rsid w:val="51C34D52"/>
    <w:rsid w:val="546456D9"/>
    <w:rsid w:val="56A32347"/>
    <w:rsid w:val="57462946"/>
    <w:rsid w:val="57531D5B"/>
    <w:rsid w:val="588C7C74"/>
    <w:rsid w:val="5E602E29"/>
    <w:rsid w:val="61961A30"/>
    <w:rsid w:val="62C17846"/>
    <w:rsid w:val="643071D5"/>
    <w:rsid w:val="65554419"/>
    <w:rsid w:val="6AA45FB2"/>
    <w:rsid w:val="6AD243D6"/>
    <w:rsid w:val="6B424F99"/>
    <w:rsid w:val="6F1F49E5"/>
    <w:rsid w:val="71B154AA"/>
    <w:rsid w:val="735119FB"/>
    <w:rsid w:val="73E84D22"/>
    <w:rsid w:val="77260623"/>
    <w:rsid w:val="78897C0C"/>
    <w:rsid w:val="79FA22AF"/>
    <w:rsid w:val="7AC42C0B"/>
    <w:rsid w:val="7AD5362D"/>
    <w:rsid w:val="7B0B5D7B"/>
    <w:rsid w:val="7FAB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8762C"/>
  <w15:docId w15:val="{8FE731CF-C797-4938-8C60-8FDBAF33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qFormat/>
    <w:rPr>
      <w:color w:val="0000FF"/>
      <w:u w:val="single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paragraph" w:customStyle="1" w:styleId="ListParagrapha815a777-9194-489a-ba42-e58eb442feec">
    <w:name w:val="List Paragraph_a815a777-9194-489a-ba42-e58eb442feec"/>
    <w:basedOn w:val="a"/>
    <w:qFormat/>
    <w:pPr>
      <w:ind w:firstLineChars="200" w:firstLine="420"/>
    </w:pPr>
    <w:rPr>
      <w:rFonts w:ascii="Calibri" w:eastAsia="宋体" w:hAnsi="Calibri" w:cs="宋体"/>
    </w:rPr>
  </w:style>
  <w:style w:type="character" w:customStyle="1" w:styleId="ca-15">
    <w:name w:val="ca-15"/>
    <w:basedOn w:val="a0"/>
    <w:qFormat/>
  </w:style>
  <w:style w:type="character" w:customStyle="1" w:styleId="a7">
    <w:name w:val="页眉 字符"/>
    <w:basedOn w:val="a0"/>
    <w:link w:val="a6"/>
    <w:qFormat/>
    <w:rPr>
      <w:rFonts w:eastAsiaTheme="minorEastAsia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eastAsiaTheme="minorEastAsia" w:cstheme="minorBidi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c k</cp:lastModifiedBy>
  <cp:revision>62</cp:revision>
  <cp:lastPrinted>2016-10-31T08:22:00Z</cp:lastPrinted>
  <dcterms:created xsi:type="dcterms:W3CDTF">2014-10-29T12:08:00Z</dcterms:created>
  <dcterms:modified xsi:type="dcterms:W3CDTF">2020-11-06T15:04:00Z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